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R4-2216543</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 xml:space="preserve">Oct,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17</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in [3] and simulation assumptions in [4]</w:t>
      </w:r>
      <w:r>
        <w:rPr>
          <w:rFonts w:hint="eastAsia"/>
          <w:sz w:val="20"/>
          <w:lang w:val="en-US" w:eastAsia="zh-CN"/>
        </w:rPr>
        <w:t xml:space="preserve">. In this contribution, we want to share further considerations on the simulation assumptions and initial simulation results for some cases.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2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scenario in adjacent channel case</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The coexistence scenarios has been agreed as following during the last RAN4 meeting. In this contribution, we share some initial simulation results for the cases highlighted in yellow and more simulation results for other cases would be provided later.</w:t>
      </w:r>
    </w:p>
    <w:p>
      <w:pPr>
        <w:pStyle w:val="44"/>
        <w:rPr>
          <w:lang w:eastAsia="ko-KR"/>
        </w:rPr>
      </w:pPr>
      <w:r>
        <w:rPr>
          <w:lang w:eastAsia="ko-KR"/>
        </w:rPr>
        <w:t>Table 2.2.1-1: Scenarios for SBFD co-ex study</w:t>
      </w:r>
    </w:p>
    <w:tbl>
      <w:tblPr>
        <w:tblStyle w:val="23"/>
        <w:tblW w:w="6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1307"/>
        <w:gridCol w:w="2433"/>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0" w:type="auto"/>
            <w:noWrap w:val="0"/>
            <w:vAlign w:val="center"/>
          </w:tcPr>
          <w:p>
            <w:pPr>
              <w:pStyle w:val="34"/>
              <w:rPr>
                <w:lang w:eastAsia="zh-CN"/>
              </w:rPr>
            </w:pPr>
            <w:r>
              <w:rPr>
                <w:rFonts w:hint="eastAsia"/>
                <w:lang w:eastAsia="zh-CN"/>
              </w:rPr>
              <w:t>F</w:t>
            </w:r>
            <w:r>
              <w:rPr>
                <w:lang w:eastAsia="zh-CN"/>
              </w:rPr>
              <w:t>R</w:t>
            </w:r>
          </w:p>
        </w:tc>
        <w:tc>
          <w:tcPr>
            <w:tcW w:w="0" w:type="auto"/>
            <w:noWrap w:val="0"/>
            <w:vAlign w:val="center"/>
          </w:tcPr>
          <w:p>
            <w:pPr>
              <w:pStyle w:val="34"/>
              <w:rPr>
                <w:b w:val="0"/>
                <w:lang w:eastAsia="ko-KR"/>
              </w:rPr>
            </w:pPr>
            <w:r>
              <w:rPr>
                <w:lang w:eastAsia="ko-KR"/>
              </w:rPr>
              <w:t>Scenario</w:t>
            </w:r>
          </w:p>
          <w:p>
            <w:pPr>
              <w:pStyle w:val="34"/>
              <w:rPr>
                <w:b w:val="0"/>
                <w:lang w:eastAsia="ko-KR"/>
              </w:rPr>
            </w:pPr>
            <w:r>
              <w:rPr>
                <w:lang w:eastAsia="ko-KR"/>
              </w:rPr>
              <w:t>No.</w:t>
            </w:r>
          </w:p>
        </w:tc>
        <w:tc>
          <w:tcPr>
            <w:tcW w:w="0" w:type="auto"/>
            <w:noWrap w:val="0"/>
            <w:vAlign w:val="center"/>
          </w:tcPr>
          <w:p>
            <w:pPr>
              <w:pStyle w:val="34"/>
              <w:rPr>
                <w:b w:val="0"/>
                <w:lang w:eastAsia="ko-KR"/>
              </w:rPr>
            </w:pPr>
            <w:r>
              <w:rPr>
                <w:lang w:eastAsia="ko-KR"/>
              </w:rPr>
              <w:t>Deployment Scenario</w:t>
            </w:r>
            <w:r>
              <w:rPr>
                <w:vertAlign w:val="superscript"/>
                <w:lang w:eastAsia="zh-CN"/>
              </w:rPr>
              <w:t>1</w:t>
            </w:r>
          </w:p>
          <w:p>
            <w:pPr>
              <w:pStyle w:val="34"/>
              <w:rPr>
                <w:b w:val="0"/>
                <w:lang w:eastAsia="ko-KR"/>
              </w:rPr>
            </w:pPr>
            <w:r>
              <w:rPr>
                <w:lang w:eastAsia="ko-KR"/>
              </w:rPr>
              <w:t>(Aggressor -&gt; Victim)</w:t>
            </w:r>
          </w:p>
        </w:tc>
        <w:tc>
          <w:tcPr>
            <w:tcW w:w="0" w:type="auto"/>
            <w:noWrap w:val="0"/>
            <w:vAlign w:val="center"/>
          </w:tcPr>
          <w:p>
            <w:pPr>
              <w:pStyle w:val="34"/>
              <w:rPr>
                <w:rFonts w:hint="eastAsia" w:eastAsia="等线"/>
                <w:lang w:eastAsia="zh-CN"/>
              </w:rPr>
            </w:pPr>
            <w:r>
              <w:rPr>
                <w:rFonts w:hint="eastAsia" w:eastAsia="等线"/>
                <w:lang w:eastAsia="zh-CN"/>
              </w:rPr>
              <w:t>P</w:t>
            </w:r>
            <w:r>
              <w:rPr>
                <w:rFonts w:eastAsia="等线"/>
                <w:lang w:eastAsia="zh-CN"/>
              </w:rPr>
              <w:t>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vMerge w:val="restart"/>
            <w:noWrap w:val="0"/>
            <w:vAlign w:val="center"/>
          </w:tcPr>
          <w:p>
            <w:pPr>
              <w:pStyle w:val="34"/>
              <w:rPr>
                <w:b w:val="0"/>
                <w:lang w:eastAsia="zh-CN"/>
              </w:rPr>
            </w:pPr>
            <w:r>
              <w:rPr>
                <w:b w:val="0"/>
                <w:lang w:eastAsia="zh-CN"/>
              </w:rPr>
              <w:t>FR1</w:t>
            </w:r>
            <w:r>
              <w:rPr>
                <w:b w:val="0"/>
                <w:lang w:eastAsia="zh-CN"/>
              </w:rPr>
              <w:br w:type="textWrapping"/>
            </w:r>
            <w:r>
              <w:rPr>
                <w:b w:val="0"/>
                <w:lang w:eastAsia="zh-CN"/>
              </w:rPr>
              <w:t>(4GHz)</w:t>
            </w:r>
            <w:r>
              <w:rPr>
                <w:vertAlign w:val="superscript"/>
                <w:lang w:eastAsia="zh-CN"/>
              </w:rPr>
              <w:t xml:space="preserve"> </w:t>
            </w:r>
          </w:p>
        </w:tc>
        <w:tc>
          <w:tcPr>
            <w:tcW w:w="0" w:type="auto"/>
            <w:noWrap w:val="0"/>
            <w:vAlign w:val="center"/>
          </w:tcPr>
          <w:p>
            <w:pPr>
              <w:pStyle w:val="34"/>
              <w:rPr>
                <w:b w:val="0"/>
                <w:highlight w:val="yellow"/>
                <w:lang w:eastAsia="zh-CN"/>
              </w:rPr>
            </w:pPr>
            <w:r>
              <w:rPr>
                <w:rFonts w:hint="eastAsia"/>
                <w:b w:val="0"/>
                <w:highlight w:val="yellow"/>
                <w:lang w:eastAsia="zh-CN"/>
              </w:rPr>
              <w:t>1</w:t>
            </w:r>
          </w:p>
        </w:tc>
        <w:tc>
          <w:tcPr>
            <w:tcW w:w="0" w:type="auto"/>
            <w:noWrap w:val="0"/>
            <w:vAlign w:val="center"/>
          </w:tcPr>
          <w:p>
            <w:pPr>
              <w:pStyle w:val="34"/>
              <w:rPr>
                <w:rFonts w:hint="eastAsia" w:eastAsia="等线"/>
                <w:b w:val="0"/>
                <w:highlight w:val="yellow"/>
                <w:lang w:eastAsia="zh-CN"/>
              </w:rPr>
            </w:pPr>
            <w:r>
              <w:rPr>
                <w:b w:val="0"/>
                <w:highlight w:val="yellow"/>
                <w:lang w:eastAsia="zh-CN"/>
              </w:rPr>
              <w:t xml:space="preserve">Urban </w:t>
            </w:r>
            <w:r>
              <w:rPr>
                <w:rFonts w:hint="eastAsia"/>
                <w:b w:val="0"/>
                <w:highlight w:val="yellow"/>
                <w:lang w:eastAsia="zh-CN"/>
              </w:rPr>
              <w:t>M</w:t>
            </w:r>
            <w:r>
              <w:rPr>
                <w:b w:val="0"/>
                <w:highlight w:val="yellow"/>
                <w:lang w:eastAsia="zh-CN"/>
              </w:rPr>
              <w:t>acro -&gt; Urban Macro</w:t>
            </w:r>
          </w:p>
        </w:tc>
        <w:tc>
          <w:tcPr>
            <w:tcW w:w="0" w:type="auto"/>
            <w:noWrap w:val="0"/>
            <w:vAlign w:val="center"/>
          </w:tcPr>
          <w:p>
            <w:pPr>
              <w:pStyle w:val="34"/>
              <w:rPr>
                <w:rFonts w:hint="eastAsia" w:eastAsia="等线"/>
                <w:b w:val="0"/>
                <w:highlight w:val="yellow"/>
                <w:lang w:eastAsia="zh-CN"/>
              </w:rPr>
            </w:pPr>
            <w:r>
              <w:rPr>
                <w:rFonts w:hint="eastAsia" w:eastAsia="等线"/>
                <w:b w:val="0"/>
                <w:highlight w:val="yellow"/>
                <w:lang w:eastAsia="zh-CN"/>
              </w:rPr>
              <w:t>H</w:t>
            </w:r>
            <w:r>
              <w:rPr>
                <w:rFonts w:eastAsia="等线"/>
                <w:b w:val="0"/>
                <w:highlight w:val="yellow"/>
                <w:lang w:eastAsia="zh-CN"/>
              </w:rPr>
              <w:t>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vMerge w:val="continue"/>
            <w:noWrap w:val="0"/>
            <w:vAlign w:val="center"/>
          </w:tcPr>
          <w:p>
            <w:pPr>
              <w:pStyle w:val="34"/>
              <w:rPr>
                <w:b w:val="0"/>
                <w:lang w:eastAsia="zh-CN"/>
              </w:rPr>
            </w:pPr>
          </w:p>
        </w:tc>
        <w:tc>
          <w:tcPr>
            <w:tcW w:w="0" w:type="auto"/>
            <w:noWrap w:val="0"/>
            <w:vAlign w:val="center"/>
          </w:tcPr>
          <w:p>
            <w:pPr>
              <w:pStyle w:val="34"/>
              <w:rPr>
                <w:b w:val="0"/>
                <w:highlight w:val="yellow"/>
                <w:lang w:eastAsia="zh-CN"/>
              </w:rPr>
            </w:pPr>
            <w:r>
              <w:rPr>
                <w:rFonts w:hint="eastAsia"/>
                <w:b w:val="0"/>
                <w:highlight w:val="yellow"/>
                <w:lang w:eastAsia="zh-CN"/>
              </w:rPr>
              <w:t>2</w:t>
            </w:r>
          </w:p>
        </w:tc>
        <w:tc>
          <w:tcPr>
            <w:tcW w:w="0" w:type="auto"/>
            <w:noWrap w:val="0"/>
            <w:vAlign w:val="center"/>
          </w:tcPr>
          <w:p>
            <w:pPr>
              <w:pStyle w:val="34"/>
              <w:rPr>
                <w:b w:val="0"/>
                <w:highlight w:val="yellow"/>
                <w:lang w:eastAsia="zh-CN"/>
              </w:rPr>
            </w:pPr>
            <w:r>
              <w:rPr>
                <w:b w:val="0"/>
                <w:highlight w:val="yellow"/>
                <w:lang w:eastAsia="zh-CN"/>
              </w:rPr>
              <w:t>Indoor -&gt; Indoor</w:t>
            </w:r>
          </w:p>
        </w:tc>
        <w:tc>
          <w:tcPr>
            <w:tcW w:w="0" w:type="auto"/>
            <w:noWrap w:val="0"/>
            <w:vAlign w:val="center"/>
          </w:tcPr>
          <w:p>
            <w:pPr>
              <w:pStyle w:val="34"/>
              <w:rPr>
                <w:rFonts w:hint="eastAsia" w:eastAsia="等线"/>
                <w:b w:val="0"/>
                <w:highlight w:val="yellow"/>
                <w:lang w:eastAsia="zh-CN"/>
              </w:rPr>
            </w:pPr>
            <w:r>
              <w:rPr>
                <w:rFonts w:hint="eastAsia" w:eastAsia="等线"/>
                <w:b w:val="0"/>
                <w:highlight w:val="yellow"/>
                <w:lang w:eastAsia="zh-CN"/>
              </w:rPr>
              <w:t>L</w:t>
            </w:r>
            <w:r>
              <w:rPr>
                <w:rFonts w:eastAsia="等线"/>
                <w:b w:val="0"/>
                <w:highlight w:val="yellow"/>
                <w:lang w:eastAsia="zh-CN"/>
              </w:rPr>
              <w:t>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vMerge w:val="restart"/>
            <w:noWrap w:val="0"/>
            <w:vAlign w:val="center"/>
          </w:tcPr>
          <w:p>
            <w:pPr>
              <w:pStyle w:val="34"/>
              <w:rPr>
                <w:rFonts w:eastAsia="等线"/>
                <w:b w:val="0"/>
                <w:lang w:eastAsia="zh-CN"/>
              </w:rPr>
            </w:pPr>
            <w:r>
              <w:rPr>
                <w:rFonts w:hint="eastAsia" w:eastAsia="等线"/>
                <w:b w:val="0"/>
                <w:lang w:eastAsia="zh-CN"/>
              </w:rPr>
              <w:t>F</w:t>
            </w:r>
            <w:r>
              <w:rPr>
                <w:rFonts w:eastAsia="等线"/>
                <w:b w:val="0"/>
                <w:lang w:eastAsia="zh-CN"/>
              </w:rPr>
              <w:t>R2</w:t>
            </w:r>
          </w:p>
          <w:p>
            <w:pPr>
              <w:pStyle w:val="34"/>
              <w:rPr>
                <w:rFonts w:hint="eastAsia" w:eastAsia="等线"/>
                <w:b w:val="0"/>
                <w:lang w:eastAsia="zh-CN"/>
              </w:rPr>
            </w:pPr>
            <w:r>
              <w:rPr>
                <w:rFonts w:eastAsia="等线"/>
                <w:b w:val="0"/>
                <w:lang w:eastAsia="zh-CN"/>
              </w:rPr>
              <w:t>(30GHz)</w:t>
            </w:r>
            <w:r>
              <w:rPr>
                <w:vertAlign w:val="superscript"/>
                <w:lang w:eastAsia="zh-CN"/>
              </w:rPr>
              <w:t xml:space="preserve"> </w:t>
            </w:r>
          </w:p>
        </w:tc>
        <w:tc>
          <w:tcPr>
            <w:tcW w:w="0" w:type="auto"/>
            <w:noWrap w:val="0"/>
            <w:vAlign w:val="center"/>
          </w:tcPr>
          <w:p>
            <w:pPr>
              <w:pStyle w:val="34"/>
              <w:rPr>
                <w:rFonts w:hint="eastAsia" w:eastAsia="等线"/>
                <w:b w:val="0"/>
                <w:lang w:eastAsia="zh-CN"/>
              </w:rPr>
            </w:pPr>
            <w:r>
              <w:rPr>
                <w:rFonts w:hint="eastAsia" w:eastAsia="等线"/>
                <w:b w:val="0"/>
                <w:lang w:eastAsia="zh-CN"/>
              </w:rPr>
              <w:t>3</w:t>
            </w:r>
          </w:p>
        </w:tc>
        <w:tc>
          <w:tcPr>
            <w:tcW w:w="0" w:type="auto"/>
            <w:noWrap w:val="0"/>
            <w:vAlign w:val="center"/>
          </w:tcPr>
          <w:p>
            <w:pPr>
              <w:pStyle w:val="34"/>
              <w:rPr>
                <w:rFonts w:hint="eastAsia" w:eastAsia="等线"/>
                <w:b w:val="0"/>
                <w:lang w:eastAsia="zh-CN"/>
              </w:rPr>
            </w:pPr>
            <w:r>
              <w:rPr>
                <w:rFonts w:hint="eastAsia" w:eastAsia="等线"/>
                <w:b w:val="0"/>
                <w:lang w:eastAsia="zh-CN"/>
              </w:rPr>
              <w:t>U</w:t>
            </w:r>
            <w:r>
              <w:rPr>
                <w:rFonts w:eastAsia="等线"/>
                <w:b w:val="0"/>
                <w:lang w:eastAsia="zh-CN"/>
              </w:rPr>
              <w:t>rban Macro -&gt; Urban Macro</w:t>
            </w:r>
          </w:p>
        </w:tc>
        <w:tc>
          <w:tcPr>
            <w:tcW w:w="0" w:type="auto"/>
            <w:noWrap w:val="0"/>
            <w:vAlign w:val="center"/>
          </w:tcPr>
          <w:p>
            <w:pPr>
              <w:pStyle w:val="34"/>
              <w:rPr>
                <w:rFonts w:hint="eastAsia" w:eastAsia="等线"/>
                <w:b w:val="0"/>
                <w:lang w:eastAsia="zh-CN"/>
              </w:rPr>
            </w:pPr>
            <w:r>
              <w:rPr>
                <w:rFonts w:hint="eastAsia" w:eastAsia="等线"/>
                <w:b w:val="0"/>
                <w:lang w:eastAsia="zh-CN"/>
              </w:rPr>
              <w:t>H</w:t>
            </w:r>
            <w:r>
              <w:rPr>
                <w:rFonts w:eastAsia="等线"/>
                <w:b w:val="0"/>
                <w:lang w:eastAsia="zh-CN"/>
              </w:rPr>
              <w:t>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vMerge w:val="continue"/>
            <w:noWrap w:val="0"/>
            <w:vAlign w:val="center"/>
          </w:tcPr>
          <w:p>
            <w:pPr>
              <w:pStyle w:val="34"/>
              <w:rPr>
                <w:b w:val="0"/>
                <w:lang w:eastAsia="zh-CN"/>
              </w:rPr>
            </w:pPr>
          </w:p>
        </w:tc>
        <w:tc>
          <w:tcPr>
            <w:tcW w:w="0" w:type="auto"/>
            <w:noWrap w:val="0"/>
            <w:vAlign w:val="center"/>
          </w:tcPr>
          <w:p>
            <w:pPr>
              <w:pStyle w:val="34"/>
              <w:rPr>
                <w:rFonts w:hint="eastAsia" w:eastAsia="等线"/>
                <w:b w:val="0"/>
                <w:lang w:eastAsia="zh-CN"/>
              </w:rPr>
            </w:pPr>
            <w:r>
              <w:rPr>
                <w:rFonts w:hint="eastAsia" w:eastAsia="等线"/>
                <w:b w:val="0"/>
                <w:lang w:eastAsia="zh-CN"/>
              </w:rPr>
              <w:t>4</w:t>
            </w:r>
          </w:p>
        </w:tc>
        <w:tc>
          <w:tcPr>
            <w:tcW w:w="0" w:type="auto"/>
            <w:noWrap w:val="0"/>
            <w:vAlign w:val="center"/>
          </w:tcPr>
          <w:p>
            <w:pPr>
              <w:pStyle w:val="34"/>
              <w:rPr>
                <w:rFonts w:hint="eastAsia" w:eastAsia="等线"/>
                <w:b w:val="0"/>
                <w:lang w:eastAsia="zh-CN"/>
              </w:rPr>
            </w:pPr>
            <w:r>
              <w:rPr>
                <w:rFonts w:hint="eastAsia" w:eastAsia="等线"/>
                <w:b w:val="0"/>
                <w:lang w:eastAsia="zh-CN"/>
              </w:rPr>
              <w:t>U</w:t>
            </w:r>
            <w:r>
              <w:rPr>
                <w:rFonts w:eastAsia="等线"/>
                <w:b w:val="0"/>
                <w:lang w:eastAsia="zh-CN"/>
              </w:rPr>
              <w:t>rban Micro -&gt; Urban Micro</w:t>
            </w:r>
          </w:p>
        </w:tc>
        <w:tc>
          <w:tcPr>
            <w:tcW w:w="0" w:type="auto"/>
            <w:noWrap w:val="0"/>
            <w:vAlign w:val="center"/>
          </w:tcPr>
          <w:p>
            <w:pPr>
              <w:pStyle w:val="34"/>
              <w:rPr>
                <w:rFonts w:hint="eastAsia" w:eastAsia="等线"/>
                <w:b w:val="0"/>
                <w:lang w:eastAsia="zh-CN"/>
              </w:rPr>
            </w:pPr>
            <w:r>
              <w:rPr>
                <w:rFonts w:hint="eastAsia" w:eastAsia="等线"/>
                <w:b w:val="0"/>
                <w:lang w:eastAsia="zh-CN"/>
              </w:rPr>
              <w:t>L</w:t>
            </w:r>
            <w:r>
              <w:rPr>
                <w:rFonts w:eastAsia="等线"/>
                <w:b w:val="0"/>
                <w:lang w:eastAsia="zh-CN"/>
              </w:rPr>
              <w:t>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vMerge w:val="continue"/>
            <w:noWrap w:val="0"/>
            <w:vAlign w:val="center"/>
          </w:tcPr>
          <w:p>
            <w:pPr>
              <w:pStyle w:val="34"/>
              <w:rPr>
                <w:b w:val="0"/>
                <w:lang w:eastAsia="zh-CN"/>
              </w:rPr>
            </w:pPr>
          </w:p>
        </w:tc>
        <w:tc>
          <w:tcPr>
            <w:tcW w:w="0" w:type="auto"/>
            <w:noWrap w:val="0"/>
            <w:vAlign w:val="center"/>
          </w:tcPr>
          <w:p>
            <w:pPr>
              <w:pStyle w:val="34"/>
              <w:rPr>
                <w:rFonts w:hint="eastAsia" w:eastAsia="等线"/>
                <w:b w:val="0"/>
                <w:lang w:eastAsia="zh-CN"/>
              </w:rPr>
            </w:pPr>
            <w:r>
              <w:rPr>
                <w:rFonts w:hint="eastAsia" w:eastAsia="等线"/>
                <w:b w:val="0"/>
                <w:lang w:eastAsia="zh-CN"/>
              </w:rPr>
              <w:t>5</w:t>
            </w:r>
          </w:p>
        </w:tc>
        <w:tc>
          <w:tcPr>
            <w:tcW w:w="0" w:type="auto"/>
            <w:noWrap w:val="0"/>
            <w:vAlign w:val="center"/>
          </w:tcPr>
          <w:p>
            <w:pPr>
              <w:pStyle w:val="34"/>
              <w:rPr>
                <w:rFonts w:hint="eastAsia" w:eastAsia="等线"/>
                <w:b w:val="0"/>
                <w:lang w:eastAsia="zh-CN"/>
              </w:rPr>
            </w:pPr>
            <w:r>
              <w:rPr>
                <w:rFonts w:hint="eastAsia" w:eastAsia="等线"/>
                <w:b w:val="0"/>
                <w:lang w:eastAsia="zh-CN"/>
              </w:rPr>
              <w:t>I</w:t>
            </w:r>
            <w:r>
              <w:rPr>
                <w:rFonts w:eastAsia="等线"/>
                <w:b w:val="0"/>
                <w:lang w:eastAsia="zh-CN"/>
              </w:rPr>
              <w:t>ndoor -&gt; Indoor</w:t>
            </w:r>
          </w:p>
        </w:tc>
        <w:tc>
          <w:tcPr>
            <w:tcW w:w="0" w:type="auto"/>
            <w:noWrap w:val="0"/>
            <w:vAlign w:val="center"/>
          </w:tcPr>
          <w:p>
            <w:pPr>
              <w:pStyle w:val="34"/>
              <w:rPr>
                <w:rFonts w:hint="eastAsia" w:eastAsia="等线"/>
                <w:b w:val="0"/>
                <w:lang w:eastAsia="zh-CN"/>
              </w:rPr>
            </w:pPr>
            <w:r>
              <w:rPr>
                <w:rFonts w:hint="eastAsia" w:eastAsia="等线"/>
                <w:b w:val="0"/>
                <w:lang w:eastAsia="zh-CN"/>
              </w:rPr>
              <w:t>L</w:t>
            </w:r>
            <w:r>
              <w:rPr>
                <w:rFonts w:eastAsia="等线"/>
                <w:b w:val="0"/>
                <w:lang w:eastAsia="zh-CN"/>
              </w:rPr>
              <w:t>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gridSpan w:val="4"/>
            <w:noWrap w:val="0"/>
            <w:vAlign w:val="center"/>
          </w:tcPr>
          <w:p>
            <w:pPr>
              <w:pStyle w:val="34"/>
              <w:jc w:val="both"/>
              <w:rPr>
                <w:rFonts w:hint="eastAsia" w:eastAsia="等线"/>
                <w:lang w:val="en-US" w:eastAsia="zh-CN"/>
              </w:rPr>
            </w:pPr>
            <w:r>
              <w:rPr>
                <w:rFonts w:hint="eastAsia"/>
                <w:lang w:val="en-US" w:eastAsia="zh-CN"/>
              </w:rPr>
              <w:t>N</w:t>
            </w:r>
            <w:r>
              <w:rPr>
                <w:lang w:val="en-US" w:eastAsia="zh-CN"/>
              </w:rPr>
              <w:t>ote 1</w:t>
            </w:r>
            <w:r>
              <w:rPr>
                <w:b w:val="0"/>
                <w:lang w:val="en-US" w:eastAsia="zh-CN"/>
              </w:rPr>
              <w:t>: The Urban Macro is agreed as baseline scenario for SBFD co-ex study with high priority in RAN4#104-e, while it does not preclude other scenarios.</w:t>
            </w:r>
          </w:p>
        </w:tc>
      </w:tr>
    </w:tbl>
    <w:p>
      <w:pPr>
        <w:spacing w:after="120" w:afterLines="50"/>
        <w:rPr>
          <w:lang w:eastAsia="zh-CN"/>
        </w:rPr>
      </w:pPr>
    </w:p>
    <w:p>
      <w:pPr>
        <w:pStyle w:val="44"/>
        <w:rPr>
          <w:lang w:eastAsia="ko-KR"/>
        </w:rPr>
      </w:pPr>
      <w:r>
        <w:rPr>
          <w:lang w:eastAsia="ko-KR"/>
        </w:rPr>
        <w:t>Table 2.2.1-2: Victim, aggressor and aggressor baseline for SBFD co-ex study</w:t>
      </w:r>
    </w:p>
    <w:tbl>
      <w:tblPr>
        <w:tblStyle w:val="23"/>
        <w:tblW w:w="6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1451"/>
        <w:gridCol w:w="2326"/>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noWrap w:val="0"/>
            <w:vAlign w:val="center"/>
          </w:tcPr>
          <w:p>
            <w:pPr>
              <w:pStyle w:val="34"/>
              <w:rPr>
                <w:b w:val="0"/>
                <w:lang w:eastAsia="ko-KR"/>
              </w:rPr>
            </w:pPr>
            <w:r>
              <w:rPr>
                <w:lang w:eastAsia="ko-KR"/>
              </w:rPr>
              <w:t>Victim</w:t>
            </w:r>
          </w:p>
        </w:tc>
        <w:tc>
          <w:tcPr>
            <w:tcW w:w="0" w:type="auto"/>
            <w:noWrap w:val="0"/>
            <w:vAlign w:val="center"/>
          </w:tcPr>
          <w:p>
            <w:pPr>
              <w:pStyle w:val="34"/>
              <w:rPr>
                <w:b w:val="0"/>
                <w:lang w:eastAsia="ko-KR"/>
              </w:rPr>
            </w:pPr>
            <w:r>
              <w:rPr>
                <w:lang w:eastAsia="ko-KR"/>
              </w:rPr>
              <w:t>Aggressor</w:t>
            </w:r>
          </w:p>
        </w:tc>
        <w:tc>
          <w:tcPr>
            <w:tcW w:w="0" w:type="auto"/>
            <w:noWrap w:val="0"/>
            <w:vAlign w:val="center"/>
          </w:tcPr>
          <w:p>
            <w:pPr>
              <w:pStyle w:val="34"/>
              <w:rPr>
                <w:b w:val="0"/>
                <w:lang w:eastAsia="ko-KR"/>
              </w:rPr>
            </w:pPr>
            <w:r>
              <w:rPr>
                <w:lang w:eastAsia="ko-KR"/>
              </w:rPr>
              <w:t>Aggressor baseline</w:t>
            </w:r>
          </w:p>
        </w:tc>
        <w:tc>
          <w:tcPr>
            <w:tcW w:w="0" w:type="auto"/>
            <w:noWrap w:val="0"/>
            <w:vAlign w:val="center"/>
          </w:tcPr>
          <w:p>
            <w:pPr>
              <w:pStyle w:val="34"/>
              <w:rPr>
                <w:rFonts w:hint="eastAsia" w:eastAsia="等线"/>
                <w:lang w:eastAsia="zh-CN"/>
              </w:rPr>
            </w:pPr>
            <w:r>
              <w:rPr>
                <w:rFonts w:eastAsia="等线"/>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noWrap w:val="0"/>
            <w:vAlign w:val="center"/>
          </w:tcPr>
          <w:p>
            <w:pPr>
              <w:pStyle w:val="34"/>
              <w:rPr>
                <w:b w:val="0"/>
                <w:highlight w:val="yellow"/>
                <w:lang w:eastAsia="zh-CN"/>
              </w:rPr>
            </w:pPr>
            <w:r>
              <w:rPr>
                <w:b w:val="0"/>
                <w:highlight w:val="yellow"/>
                <w:lang w:eastAsia="zh-CN"/>
              </w:rPr>
              <w:t>NR TDD DL</w:t>
            </w:r>
          </w:p>
        </w:tc>
        <w:tc>
          <w:tcPr>
            <w:tcW w:w="0" w:type="auto"/>
            <w:noWrap w:val="0"/>
            <w:vAlign w:val="center"/>
          </w:tcPr>
          <w:p>
            <w:pPr>
              <w:pStyle w:val="34"/>
              <w:rPr>
                <w:b w:val="0"/>
                <w:highlight w:val="yellow"/>
                <w:lang w:val="en-US" w:eastAsia="zh-CN"/>
              </w:rPr>
            </w:pPr>
            <w:r>
              <w:rPr>
                <w:b w:val="0"/>
                <w:highlight w:val="yellow"/>
                <w:lang w:eastAsia="zh-CN"/>
              </w:rPr>
              <w:t>SBFD</w:t>
            </w:r>
          </w:p>
        </w:tc>
        <w:tc>
          <w:tcPr>
            <w:tcW w:w="0" w:type="auto"/>
            <w:noWrap w:val="0"/>
            <w:vAlign w:val="center"/>
          </w:tcPr>
          <w:p>
            <w:pPr>
              <w:pStyle w:val="34"/>
              <w:rPr>
                <w:b w:val="0"/>
                <w:highlight w:val="yellow"/>
                <w:lang w:eastAsia="zh-CN"/>
              </w:rPr>
            </w:pPr>
            <w:r>
              <w:rPr>
                <w:b w:val="0"/>
                <w:highlight w:val="yellow"/>
                <w:lang w:eastAsia="zh-CN"/>
              </w:rPr>
              <w:t>NR TDD DL</w:t>
            </w:r>
          </w:p>
        </w:tc>
        <w:tc>
          <w:tcPr>
            <w:tcW w:w="0" w:type="auto"/>
            <w:noWrap w:val="0"/>
            <w:vAlign w:val="center"/>
          </w:tcPr>
          <w:p>
            <w:pPr>
              <w:pStyle w:val="34"/>
              <w:rPr>
                <w:rFonts w:hint="eastAsia" w:eastAsia="等线"/>
                <w:b w:val="0"/>
                <w:highlight w:val="yellow"/>
                <w:lang w:eastAsia="zh-CN"/>
              </w:rPr>
            </w:pPr>
            <w:r>
              <w:rPr>
                <w:rFonts w:hint="eastAsia" w:eastAsia="等线"/>
                <w:b w:val="0"/>
                <w:highlight w:val="yellow"/>
                <w:lang w:eastAsia="zh-CN"/>
              </w:rPr>
              <w:t>H</w:t>
            </w:r>
            <w:r>
              <w:rPr>
                <w:rFonts w:eastAsia="等线"/>
                <w:b w:val="0"/>
                <w:highlight w:val="yellow"/>
                <w:lang w:eastAsia="zh-CN"/>
              </w:rPr>
              <w:t>igh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noWrap w:val="0"/>
            <w:vAlign w:val="center"/>
          </w:tcPr>
          <w:p>
            <w:pPr>
              <w:pStyle w:val="34"/>
              <w:rPr>
                <w:b w:val="0"/>
                <w:lang w:eastAsia="zh-CN"/>
              </w:rPr>
            </w:pPr>
            <w:r>
              <w:rPr>
                <w:b w:val="0"/>
                <w:lang w:eastAsia="zh-CN"/>
              </w:rPr>
              <w:t>NR TDD UL</w:t>
            </w:r>
          </w:p>
        </w:tc>
        <w:tc>
          <w:tcPr>
            <w:tcW w:w="0" w:type="auto"/>
            <w:noWrap w:val="0"/>
            <w:vAlign w:val="center"/>
          </w:tcPr>
          <w:p>
            <w:pPr>
              <w:pStyle w:val="34"/>
              <w:rPr>
                <w:b w:val="0"/>
                <w:lang w:val="en-US" w:eastAsia="zh-CN"/>
              </w:rPr>
            </w:pPr>
            <w:r>
              <w:rPr>
                <w:b w:val="0"/>
                <w:lang w:eastAsia="zh-CN"/>
              </w:rPr>
              <w:t>SBFD</w:t>
            </w:r>
          </w:p>
        </w:tc>
        <w:tc>
          <w:tcPr>
            <w:tcW w:w="0" w:type="auto"/>
            <w:noWrap w:val="0"/>
            <w:vAlign w:val="center"/>
          </w:tcPr>
          <w:p>
            <w:pPr>
              <w:pStyle w:val="34"/>
              <w:rPr>
                <w:b w:val="0"/>
                <w:lang w:eastAsia="zh-CN"/>
              </w:rPr>
            </w:pPr>
            <w:r>
              <w:rPr>
                <w:b w:val="0"/>
                <w:lang w:eastAsia="zh-CN"/>
              </w:rPr>
              <w:t>NR TDD UL</w:t>
            </w:r>
          </w:p>
        </w:tc>
        <w:tc>
          <w:tcPr>
            <w:tcW w:w="0" w:type="auto"/>
            <w:noWrap w:val="0"/>
            <w:vAlign w:val="center"/>
          </w:tcPr>
          <w:p>
            <w:pPr>
              <w:pStyle w:val="34"/>
              <w:rPr>
                <w:rFonts w:hint="eastAsia" w:eastAsia="等线"/>
                <w:b w:val="0"/>
                <w:lang w:eastAsia="zh-CN"/>
              </w:rPr>
            </w:pPr>
            <w:r>
              <w:rPr>
                <w:rFonts w:hint="eastAsia" w:eastAsia="等线"/>
                <w:b w:val="0"/>
                <w:lang w:eastAsia="zh-CN"/>
              </w:rPr>
              <w:t>L</w:t>
            </w:r>
            <w:r>
              <w:rPr>
                <w:rFonts w:eastAsia="等线"/>
                <w:b w:val="0"/>
                <w:lang w:eastAsia="zh-CN"/>
              </w:rPr>
              <w:t>ow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0" w:type="auto"/>
            <w:vMerge w:val="restart"/>
            <w:noWrap w:val="0"/>
            <w:vAlign w:val="center"/>
          </w:tcPr>
          <w:p>
            <w:pPr>
              <w:pStyle w:val="34"/>
              <w:rPr>
                <w:b w:val="0"/>
                <w:lang w:eastAsia="zh-CN"/>
              </w:rPr>
            </w:pPr>
            <w:r>
              <w:rPr>
                <w:b w:val="0"/>
                <w:lang w:eastAsia="zh-CN"/>
              </w:rPr>
              <w:t>SBFD</w:t>
            </w:r>
          </w:p>
        </w:tc>
        <w:tc>
          <w:tcPr>
            <w:tcW w:w="0" w:type="auto"/>
            <w:noWrap w:val="0"/>
            <w:vAlign w:val="center"/>
          </w:tcPr>
          <w:p>
            <w:pPr>
              <w:pStyle w:val="34"/>
              <w:rPr>
                <w:rFonts w:hint="eastAsia" w:eastAsia="等线"/>
                <w:b w:val="0"/>
                <w:lang w:eastAsia="zh-CN"/>
              </w:rPr>
            </w:pPr>
            <w:r>
              <w:rPr>
                <w:rFonts w:eastAsia="等线"/>
                <w:b w:val="0"/>
                <w:lang w:eastAsia="zh-CN"/>
              </w:rPr>
              <w:t xml:space="preserve">NR </w:t>
            </w:r>
            <w:r>
              <w:rPr>
                <w:rFonts w:hint="eastAsia" w:eastAsia="等线"/>
                <w:b w:val="0"/>
                <w:lang w:eastAsia="zh-CN"/>
              </w:rPr>
              <w:t>T</w:t>
            </w:r>
            <w:r>
              <w:rPr>
                <w:rFonts w:eastAsia="等线"/>
                <w:b w:val="0"/>
                <w:lang w:eastAsia="zh-CN"/>
              </w:rPr>
              <w:t>DD DL</w:t>
            </w:r>
          </w:p>
        </w:tc>
        <w:tc>
          <w:tcPr>
            <w:tcW w:w="0" w:type="auto"/>
            <w:vMerge w:val="restart"/>
            <w:noWrap w:val="0"/>
            <w:vAlign w:val="center"/>
          </w:tcPr>
          <w:p>
            <w:pPr>
              <w:pStyle w:val="34"/>
              <w:rPr>
                <w:rFonts w:hint="eastAsia" w:eastAsia="等线"/>
                <w:b w:val="0"/>
                <w:lang w:eastAsia="zh-CN"/>
              </w:rPr>
            </w:pPr>
            <w:r>
              <w:rPr>
                <w:rFonts w:eastAsia="等线"/>
                <w:b w:val="0"/>
                <w:lang w:eastAsia="zh-CN"/>
              </w:rPr>
              <w:t>FFS</w:t>
            </w:r>
          </w:p>
        </w:tc>
        <w:tc>
          <w:tcPr>
            <w:tcW w:w="0" w:type="auto"/>
            <w:noWrap w:val="0"/>
            <w:vAlign w:val="center"/>
          </w:tcPr>
          <w:p>
            <w:pPr>
              <w:pStyle w:val="34"/>
              <w:rPr>
                <w:rFonts w:hint="eastAsia" w:eastAsia="等线"/>
                <w:b w:val="0"/>
                <w:lang w:eastAsia="zh-CN"/>
              </w:rPr>
            </w:pPr>
            <w:r>
              <w:rPr>
                <w:rFonts w:hint="eastAsia" w:eastAsia="等线"/>
                <w:b w:val="0"/>
                <w:lang w:eastAsia="zh-CN"/>
              </w:rPr>
              <w:t>H</w:t>
            </w:r>
            <w:r>
              <w:rPr>
                <w:rFonts w:eastAsia="等线"/>
                <w:b w:val="0"/>
                <w:lang w:eastAsia="zh-CN"/>
              </w:rPr>
              <w:t>igh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noWrap w:val="0"/>
            <w:vAlign w:val="center"/>
          </w:tcPr>
          <w:p>
            <w:pPr>
              <w:pStyle w:val="34"/>
              <w:rPr>
                <w:b w:val="0"/>
                <w:lang w:eastAsia="zh-CN"/>
              </w:rPr>
            </w:pPr>
          </w:p>
        </w:tc>
        <w:tc>
          <w:tcPr>
            <w:tcW w:w="0" w:type="auto"/>
            <w:noWrap w:val="0"/>
            <w:vAlign w:val="center"/>
          </w:tcPr>
          <w:p>
            <w:pPr>
              <w:pStyle w:val="34"/>
              <w:rPr>
                <w:rFonts w:hint="eastAsia" w:eastAsia="等线"/>
                <w:b w:val="0"/>
                <w:lang w:val="en-US" w:eastAsia="zh-CN"/>
              </w:rPr>
            </w:pPr>
            <w:r>
              <w:rPr>
                <w:rFonts w:eastAsia="等线"/>
                <w:b w:val="0"/>
                <w:lang w:val="en-US" w:eastAsia="zh-CN"/>
              </w:rPr>
              <w:t>NR TDD UL</w:t>
            </w:r>
          </w:p>
        </w:tc>
        <w:tc>
          <w:tcPr>
            <w:tcW w:w="0" w:type="auto"/>
            <w:vMerge w:val="continue"/>
            <w:noWrap w:val="0"/>
            <w:vAlign w:val="center"/>
          </w:tcPr>
          <w:p>
            <w:pPr>
              <w:pStyle w:val="34"/>
              <w:rPr>
                <w:rFonts w:hint="eastAsia" w:eastAsia="等线"/>
                <w:b w:val="0"/>
                <w:lang w:eastAsia="zh-CN"/>
              </w:rPr>
            </w:pPr>
          </w:p>
        </w:tc>
        <w:tc>
          <w:tcPr>
            <w:tcW w:w="0" w:type="auto"/>
            <w:noWrap w:val="0"/>
            <w:vAlign w:val="center"/>
          </w:tcPr>
          <w:p>
            <w:pPr>
              <w:pStyle w:val="34"/>
              <w:rPr>
                <w:rFonts w:hint="eastAsia" w:eastAsia="等线"/>
                <w:b w:val="0"/>
                <w:lang w:eastAsia="zh-CN"/>
              </w:rPr>
            </w:pPr>
            <w:r>
              <w:rPr>
                <w:rFonts w:hint="eastAsia" w:eastAsia="等线"/>
                <w:b w:val="0"/>
                <w:lang w:eastAsia="zh-CN"/>
              </w:rPr>
              <w:t>L</w:t>
            </w:r>
            <w:r>
              <w:rPr>
                <w:rFonts w:eastAsia="等线"/>
                <w:b w:val="0"/>
                <w:lang w:eastAsia="zh-CN"/>
              </w:rPr>
              <w:t>ow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noWrap w:val="0"/>
            <w:vAlign w:val="center"/>
          </w:tcPr>
          <w:p>
            <w:pPr>
              <w:pStyle w:val="34"/>
              <w:rPr>
                <w:b w:val="0"/>
                <w:lang w:eastAsia="zh-CN"/>
              </w:rPr>
            </w:pPr>
          </w:p>
        </w:tc>
        <w:tc>
          <w:tcPr>
            <w:tcW w:w="0" w:type="auto"/>
            <w:noWrap w:val="0"/>
            <w:vAlign w:val="center"/>
          </w:tcPr>
          <w:p>
            <w:pPr>
              <w:pStyle w:val="34"/>
              <w:rPr>
                <w:rFonts w:hint="eastAsia" w:eastAsia="等线"/>
                <w:b w:val="0"/>
                <w:lang w:val="en-US" w:eastAsia="zh-CN"/>
              </w:rPr>
            </w:pPr>
            <w:r>
              <w:rPr>
                <w:b w:val="0"/>
                <w:lang w:eastAsia="zh-CN"/>
              </w:rPr>
              <w:t>SBFD</w:t>
            </w:r>
          </w:p>
        </w:tc>
        <w:tc>
          <w:tcPr>
            <w:tcW w:w="0" w:type="auto"/>
            <w:vMerge w:val="continue"/>
            <w:noWrap w:val="0"/>
            <w:vAlign w:val="center"/>
          </w:tcPr>
          <w:p>
            <w:pPr>
              <w:pStyle w:val="34"/>
              <w:rPr>
                <w:rFonts w:hint="eastAsia" w:eastAsia="等线"/>
                <w:b w:val="0"/>
                <w:lang w:eastAsia="zh-CN"/>
              </w:rPr>
            </w:pPr>
          </w:p>
        </w:tc>
        <w:tc>
          <w:tcPr>
            <w:tcW w:w="0" w:type="auto"/>
            <w:noWrap w:val="0"/>
            <w:vAlign w:val="center"/>
          </w:tcPr>
          <w:p>
            <w:pPr>
              <w:pStyle w:val="34"/>
              <w:rPr>
                <w:rFonts w:hint="eastAsia" w:eastAsia="等线"/>
                <w:b w:val="0"/>
                <w:lang w:eastAsia="zh-CN"/>
              </w:rPr>
            </w:pPr>
            <w:r>
              <w:rPr>
                <w:rFonts w:hint="eastAsia" w:eastAsia="等线"/>
                <w:b w:val="0"/>
                <w:lang w:eastAsia="zh-CN"/>
              </w:rPr>
              <w:t>L</w:t>
            </w:r>
            <w:r>
              <w:rPr>
                <w:rFonts w:eastAsia="等线"/>
                <w:b w:val="0"/>
                <w:lang w:eastAsia="zh-CN"/>
              </w:rPr>
              <w:t>ow priority</w:t>
            </w:r>
          </w:p>
        </w:tc>
      </w:tr>
    </w:tbl>
    <w:p>
      <w:pPr>
        <w:autoSpaceDE/>
        <w:autoSpaceDN/>
        <w:adjustRightInd/>
        <w:snapToGrid/>
        <w:spacing w:before="0" w:beforeLines="-2147483648" w:after="0" w:afterLines="-2147483648" w:line="240" w:lineRule="auto"/>
        <w:jc w:val="left"/>
        <w:rPr>
          <w:rFonts w:hint="eastAsia"/>
          <w:sz w:val="20"/>
          <w:lang w:val="en-US" w:eastAsia="zh-CN"/>
        </w:rPr>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Simulation assumptions for full duplex coexistence study</w:t>
      </w:r>
    </w:p>
    <w:p>
      <w:pPr>
        <w:pStyle w:val="40"/>
        <w:bidi w:val="0"/>
        <w:ind w:left="0" w:leftChars="0" w:firstLine="0" w:firstLineChars="0"/>
        <w:rPr>
          <w:rFonts w:hint="default"/>
          <w:lang w:val="en-US" w:eastAsia="zh-CN"/>
        </w:rPr>
      </w:pPr>
      <w:r>
        <w:rPr>
          <w:rFonts w:hint="eastAsia"/>
          <w:lang w:val="en-US" w:eastAsia="zh-CN"/>
        </w:rPr>
        <w:t>For the pathloss, we reached the following agreement, however for pathloss between UE to UE. In general, it</w:t>
      </w:r>
      <w:r>
        <w:rPr>
          <w:rFonts w:hint="default"/>
          <w:lang w:val="en-US" w:eastAsia="zh-CN"/>
        </w:rPr>
        <w:t>’</w:t>
      </w:r>
      <w:r>
        <w:rPr>
          <w:rFonts w:hint="eastAsia"/>
          <w:lang w:val="en-US" w:eastAsia="zh-CN"/>
        </w:rPr>
        <w:t>s okay to reuse the assumption in TR 38.828, however the applicable range for UMi channel model is only larger than 10m. Indeed based on the statistic results for UE to UE distance, there are still lots of separation distance less than 10m which should cause more interference than further far away of UEs. Therefore we need to further consider the applicable range of Umi channel model for UE to UE pathloss model</w:t>
      </w:r>
    </w:p>
    <w:p>
      <w:pPr>
        <w:widowControl w:val="0"/>
        <w:spacing w:after="0"/>
        <w:jc w:val="both"/>
        <w:rPr>
          <w:b/>
          <w:bCs/>
          <w:i/>
          <w:iCs/>
          <w:szCs w:val="21"/>
          <w:u w:val="single"/>
          <w:lang w:val="en-US"/>
        </w:rPr>
      </w:pPr>
      <w:r>
        <w:rPr>
          <w:rFonts w:eastAsia="Times New Roman"/>
          <w:b/>
          <w:bCs/>
          <w:i/>
          <w:iCs/>
          <w:kern w:val="2"/>
          <w:szCs w:val="21"/>
          <w:u w:val="single"/>
          <w:lang w:val="en-US" w:eastAsia="zh-CN" w:bidi="ar"/>
        </w:rPr>
        <w:t>Take option 1 as starting point.</w:t>
      </w:r>
    </w:p>
    <w:p>
      <w:pPr>
        <w:pStyle w:val="96"/>
        <w:widowControl/>
        <w:numPr>
          <w:ilvl w:val="0"/>
          <w:numId w:val="2"/>
        </w:numPr>
        <w:spacing w:after="120" w:afterLines="50"/>
        <w:ind w:firstLineChars="0"/>
        <w:rPr>
          <w:rFonts w:hint="eastAsia" w:ascii="Times New Roman" w:hAnsi="Times New Roman"/>
          <w:sz w:val="20"/>
          <w:szCs w:val="21"/>
        </w:rPr>
      </w:pPr>
      <w:r>
        <w:rPr>
          <w:rFonts w:ascii="Times New Roman" w:hAnsi="Times New Roman"/>
          <w:sz w:val="20"/>
          <w:szCs w:val="21"/>
        </w:rPr>
        <w:t>Option 1: Re-use TR 38.828 as starting point</w:t>
      </w:r>
    </w:p>
    <w:tbl>
      <w:tblPr>
        <w:tblStyle w:val="2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312"/>
        <w:gridCol w:w="5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164" w:type="pct"/>
            <w:shd w:val="clear" w:color="auto" w:fill="auto"/>
            <w:tcMar>
              <w:top w:w="15" w:type="dxa"/>
              <w:left w:w="108" w:type="dxa"/>
              <w:bottom w:w="0" w:type="dxa"/>
              <w:right w:w="108" w:type="dxa"/>
            </w:tcMar>
            <w:vAlign w:val="center"/>
          </w:tcPr>
          <w:p>
            <w:pPr>
              <w:pStyle w:val="36"/>
            </w:pPr>
            <w:r>
              <w:rPr>
                <w:rFonts w:hint="eastAsia"/>
              </w:rPr>
              <w:t>Path-loss model</w:t>
            </w:r>
          </w:p>
        </w:tc>
        <w:tc>
          <w:tcPr>
            <w:tcW w:w="2836" w:type="pct"/>
            <w:shd w:val="clear" w:color="auto" w:fill="auto"/>
            <w:tcMar>
              <w:top w:w="15" w:type="dxa"/>
              <w:left w:w="108" w:type="dxa"/>
              <w:bottom w:w="0" w:type="dxa"/>
              <w:right w:w="108" w:type="dxa"/>
            </w:tcMar>
            <w:vAlign w:val="center"/>
          </w:tcPr>
          <w:p>
            <w:pPr>
              <w:pStyle w:val="36"/>
            </w:pPr>
            <w:r>
              <w:t xml:space="preserve">- </w:t>
            </w:r>
            <w:r>
              <w:rPr>
                <w:rFonts w:hint="eastAsia"/>
              </w:rPr>
              <w:t>Macro (A</w:t>
            </w:r>
            <w:r>
              <w:t>ggressor</w:t>
            </w:r>
            <w:r>
              <w:rPr>
                <w:rFonts w:hint="eastAsia"/>
              </w:rPr>
              <w:t xml:space="preserve">) </w:t>
            </w:r>
            <w:r>
              <w:t>–</w:t>
            </w:r>
            <w:r>
              <w:rPr>
                <w:rFonts w:hint="eastAsia"/>
              </w:rPr>
              <w:t xml:space="preserve"> Macro </w:t>
            </w:r>
            <w:r>
              <w:t>(Victim)</w:t>
            </w:r>
          </w:p>
          <w:p>
            <w:pPr>
              <w:pStyle w:val="36"/>
            </w:pPr>
            <w:r>
              <w:tab/>
            </w:r>
            <w:r>
              <w:t xml:space="preserve">- </w:t>
            </w:r>
            <w:r>
              <w:rPr>
                <w:rFonts w:hint="eastAsia"/>
              </w:rPr>
              <w:t>Macro-to-Macro: UMa (h_UE</w:t>
            </w:r>
            <w:r>
              <w:t xml:space="preserve"> </w:t>
            </w:r>
            <w:r>
              <w:rPr>
                <w:rFonts w:hint="eastAsia"/>
              </w:rPr>
              <w:t>=</w:t>
            </w:r>
            <w:r>
              <w:t xml:space="preserve"> </w:t>
            </w:r>
            <w:r>
              <w:rPr>
                <w:rFonts w:hint="eastAsia"/>
              </w:rPr>
              <w:t>25</w:t>
            </w:r>
            <w:r>
              <w:t> </w:t>
            </w:r>
            <w:r>
              <w:rPr>
                <w:rFonts w:hint="eastAsia"/>
              </w:rPr>
              <w:t>m)</w:t>
            </w:r>
            <w:r>
              <w:t xml:space="preserve"> see TR 38.803 [5]</w:t>
            </w:r>
          </w:p>
          <w:p>
            <w:pPr>
              <w:pStyle w:val="36"/>
            </w:pPr>
            <w:r>
              <w:tab/>
            </w:r>
            <w:r>
              <w:t xml:space="preserve">- </w:t>
            </w:r>
            <w:r>
              <w:rPr>
                <w:rFonts w:hint="eastAsia"/>
              </w:rPr>
              <w:t>Macro-to-UE</w:t>
            </w:r>
            <w:r>
              <w:t>(V)</w:t>
            </w:r>
            <w:r>
              <w:rPr>
                <w:rFonts w:hint="eastAsia"/>
              </w:rPr>
              <w:t>: U</w:t>
            </w:r>
            <w:r>
              <w:t>m</w:t>
            </w:r>
            <w:r>
              <w:rPr>
                <w:rFonts w:hint="eastAsia"/>
              </w:rPr>
              <w:t>a</w:t>
            </w:r>
            <w:r>
              <w:t xml:space="preserve"> + penetration loss see TR 38.803 [5]</w:t>
            </w:r>
          </w:p>
          <w:p>
            <w:pPr>
              <w:pStyle w:val="36"/>
            </w:pPr>
            <w:r>
              <w:tab/>
            </w:r>
            <w:r>
              <w:t xml:space="preserve">- </w:t>
            </w:r>
            <w:r>
              <w:rPr>
                <w:rFonts w:hint="eastAsia"/>
              </w:rPr>
              <w:t>UE-to-UE: UMi (h_BS=1.5</w:t>
            </w:r>
            <w:r>
              <w:t> </w:t>
            </w:r>
            <w:r>
              <w:rPr>
                <w:rFonts w:hint="eastAsia"/>
              </w:rPr>
              <w:t>m ~ 22.5</w:t>
            </w:r>
            <w:r>
              <w:t> </w:t>
            </w:r>
            <w:r>
              <w:rPr>
                <w:rFonts w:hint="eastAsia"/>
              </w:rPr>
              <w:t>m)</w:t>
            </w:r>
            <w:r>
              <w:t xml:space="preserve"> </w:t>
            </w:r>
            <w:r>
              <w:br w:type="textWrapping"/>
            </w:r>
            <w:r>
              <w:tab/>
            </w:r>
            <w:r>
              <w:t xml:space="preserve">  + penetration loss see TR 38.803 [5]</w:t>
            </w:r>
          </w:p>
        </w:tc>
      </w:tr>
    </w:tbl>
    <w:p>
      <w:pPr>
        <w:pStyle w:val="40"/>
        <w:bidi w:val="0"/>
        <w:ind w:left="0" w:leftChars="0" w:firstLine="0" w:firstLineChars="0"/>
        <w:rPr>
          <w:rFonts w:hint="eastAsia"/>
          <w:b w:val="0"/>
          <w:bCs w:val="0"/>
          <w:lang w:val="en-US" w:eastAsia="zh-CN"/>
        </w:rPr>
      </w:pPr>
      <w:r>
        <w:rPr>
          <w:rFonts w:hint="eastAsia"/>
          <w:b/>
          <w:bCs/>
          <w:lang w:val="en-US" w:eastAsia="zh-CN"/>
        </w:rPr>
        <w:t xml:space="preserve">Proposal 1: </w:t>
      </w:r>
      <w:r>
        <w:rPr>
          <w:rFonts w:hint="eastAsia"/>
          <w:b w:val="0"/>
          <w:bCs w:val="0"/>
          <w:lang w:val="en-US" w:eastAsia="zh-CN"/>
        </w:rPr>
        <w:t>to further consider the applicable range of UMi channel model for UE to UE pathloss model in Urban macro scenario.</w:t>
      </w:r>
    </w:p>
    <w:p>
      <w:pPr>
        <w:pStyle w:val="40"/>
        <w:bidi w:val="0"/>
        <w:ind w:left="0" w:leftChars="0" w:firstLine="0" w:firstLineChars="0"/>
        <w:rPr>
          <w:rFonts w:hint="default"/>
          <w:b w:val="0"/>
          <w:bCs w:val="0"/>
          <w:lang w:val="en-US" w:eastAsia="zh-CN"/>
        </w:rPr>
      </w:pPr>
      <w:r>
        <w:rPr>
          <w:rFonts w:hint="eastAsia"/>
          <w:b w:val="0"/>
          <w:bCs w:val="0"/>
          <w:lang w:val="en-US" w:eastAsia="zh-CN"/>
        </w:rPr>
        <w:t>For the grid shift assumption for SBFD coexistence study, there are lots of assumptions listed as following. From our understanding, it should be okay to start with 100% grid shift and further consider the 0% grid shift if the feasibility for co-site CLI is confirmed.</w:t>
      </w:r>
    </w:p>
    <w:p>
      <w:pPr>
        <w:widowControl w:val="0"/>
        <w:spacing w:after="0"/>
        <w:jc w:val="both"/>
        <w:rPr>
          <w:rFonts w:eastAsia="等线"/>
          <w:kern w:val="2"/>
          <w:szCs w:val="21"/>
          <w:lang w:val="en-US" w:eastAsia="zh-CN" w:bidi="ar"/>
        </w:rPr>
      </w:pPr>
      <w:bookmarkStart w:id="5" w:name="_Hlk112360554"/>
      <w:r>
        <w:rPr>
          <w:rFonts w:eastAsia="Times New Roman"/>
          <w:kern w:val="2"/>
          <w:szCs w:val="21"/>
          <w:lang w:val="en-US" w:eastAsia="zh-CN" w:bidi="ar"/>
        </w:rPr>
        <w:t>Further study following candidate options for grid shift in SLS and analysis.</w:t>
      </w:r>
    </w:p>
    <w:p>
      <w:pPr>
        <w:widowControl w:val="0"/>
        <w:numPr>
          <w:ilvl w:val="0"/>
          <w:numId w:val="3"/>
        </w:numPr>
        <w:spacing w:after="0"/>
        <w:jc w:val="both"/>
        <w:rPr>
          <w:rFonts w:eastAsia="Times New Roman"/>
          <w:kern w:val="2"/>
          <w:szCs w:val="21"/>
          <w:lang w:val="en-US" w:eastAsia="zh-CN" w:bidi="ar"/>
        </w:rPr>
      </w:pPr>
      <w:r>
        <w:rPr>
          <w:rFonts w:eastAsia="Times New Roman"/>
          <w:kern w:val="2"/>
          <w:szCs w:val="21"/>
          <w:lang w:val="en-US" w:eastAsia="zh-CN" w:bidi="ar"/>
        </w:rPr>
        <w:t xml:space="preserve">Option 1: 100% </w:t>
      </w:r>
    </w:p>
    <w:p>
      <w:pPr>
        <w:widowControl w:val="0"/>
        <w:numPr>
          <w:ilvl w:val="0"/>
          <w:numId w:val="3"/>
        </w:numPr>
        <w:spacing w:after="0"/>
        <w:jc w:val="both"/>
        <w:rPr>
          <w:rFonts w:eastAsia="Times New Roman"/>
          <w:kern w:val="2"/>
          <w:szCs w:val="21"/>
          <w:lang w:val="en-US" w:eastAsia="zh-CN" w:bidi="ar"/>
        </w:rPr>
      </w:pPr>
      <w:r>
        <w:rPr>
          <w:rFonts w:eastAsia="Times New Roman"/>
          <w:kern w:val="2"/>
          <w:szCs w:val="21"/>
          <w:lang w:val="en-US" w:eastAsia="zh-CN" w:bidi="ar"/>
        </w:rPr>
        <w:t xml:space="preserve">Option 2: 0% </w:t>
      </w:r>
    </w:p>
    <w:p>
      <w:pPr>
        <w:widowControl w:val="0"/>
        <w:numPr>
          <w:ilvl w:val="0"/>
          <w:numId w:val="3"/>
        </w:numPr>
        <w:spacing w:after="0"/>
        <w:jc w:val="both"/>
        <w:rPr>
          <w:rFonts w:eastAsia="Times New Roman"/>
          <w:kern w:val="2"/>
          <w:szCs w:val="21"/>
          <w:lang w:val="en-US" w:eastAsia="zh-CN" w:bidi="ar"/>
        </w:rPr>
      </w:pPr>
      <w:r>
        <w:rPr>
          <w:rFonts w:eastAsia="Times New Roman"/>
          <w:kern w:val="2"/>
          <w:szCs w:val="21"/>
          <w:lang w:val="en-US" w:eastAsia="zh-CN" w:bidi="ar"/>
        </w:rPr>
        <w:t>Option 3: 10%</w:t>
      </w:r>
    </w:p>
    <w:p>
      <w:pPr>
        <w:widowControl w:val="0"/>
        <w:numPr>
          <w:ilvl w:val="0"/>
          <w:numId w:val="3"/>
        </w:numPr>
        <w:spacing w:after="0"/>
        <w:jc w:val="both"/>
        <w:rPr>
          <w:rFonts w:eastAsia="Times New Roman"/>
          <w:kern w:val="2"/>
          <w:szCs w:val="21"/>
          <w:lang w:val="en-US" w:eastAsia="zh-CN" w:bidi="ar"/>
        </w:rPr>
      </w:pPr>
      <w:r>
        <w:rPr>
          <w:rFonts w:eastAsia="Times New Roman"/>
          <w:kern w:val="2"/>
          <w:szCs w:val="21"/>
          <w:lang w:val="en-US" w:eastAsia="zh-CN" w:bidi="ar"/>
        </w:rPr>
        <w:t>Option 4: TBA</w:t>
      </w:r>
    </w:p>
    <w:bookmarkEnd w:id="5"/>
    <w:p>
      <w:pPr>
        <w:pStyle w:val="40"/>
        <w:bidi w:val="0"/>
        <w:ind w:left="0" w:leftChars="0" w:firstLine="0" w:firstLineChars="0"/>
        <w:rPr>
          <w:rFonts w:hint="default"/>
          <w:b w:val="0"/>
          <w:bCs w:val="0"/>
          <w:lang w:val="en-US" w:eastAsia="zh-CN"/>
        </w:rPr>
      </w:pPr>
      <w:r>
        <w:rPr>
          <w:rFonts w:hint="eastAsia"/>
          <w:b/>
          <w:bCs/>
          <w:lang w:val="en-US" w:eastAsia="zh-CN"/>
        </w:rPr>
        <w:t xml:space="preserve">Proposal 2: </w:t>
      </w:r>
      <w:r>
        <w:rPr>
          <w:rFonts w:hint="eastAsia"/>
          <w:b w:val="0"/>
          <w:bCs w:val="0"/>
          <w:lang w:val="en-US" w:eastAsia="zh-CN"/>
        </w:rPr>
        <w:t>to start with 100% grid shift and further consider the 0% grid shift if the feasibility for co-site CLI is confirmed</w:t>
      </w:r>
    </w:p>
    <w:p>
      <w:pPr>
        <w:rPr>
          <w:rFonts w:hint="default"/>
          <w:lang w:val="en-US" w:eastAsia="zh-CN"/>
        </w:rPr>
      </w:pPr>
      <w:r>
        <w:rPr>
          <w:rFonts w:hint="eastAsia"/>
          <w:lang w:val="en-US" w:eastAsia="zh-CN"/>
        </w:rPr>
        <w:t>For UE distributions for</w:t>
      </w:r>
      <w:r>
        <w:rPr>
          <w:rFonts w:hint="eastAsia" w:ascii="Times New Roman" w:hAnsi="Times New Roman" w:eastAsia="Times New Roman" w:cs="Times New Roman"/>
          <w:b w:val="0"/>
          <w:bCs w:val="0"/>
          <w:kern w:val="0"/>
          <w:sz w:val="20"/>
          <w:szCs w:val="20"/>
          <w:lang w:val="en-US" w:eastAsia="zh-CN" w:bidi="ar-SA"/>
        </w:rPr>
        <w:t xml:space="preserve"> Indoor/Outdoor UE ratio</w:t>
      </w:r>
      <w:r>
        <w:rPr>
          <w:rFonts w:hint="eastAsia" w:eastAsia="Times New Roman" w:cs="Times New Roman"/>
          <w:b w:val="0"/>
          <w:bCs w:val="0"/>
          <w:kern w:val="0"/>
          <w:sz w:val="20"/>
          <w:szCs w:val="20"/>
          <w:lang w:val="en-US" w:eastAsia="zh-CN" w:bidi="ar-SA"/>
        </w:rPr>
        <w:t>, it</w:t>
      </w:r>
      <w:r>
        <w:rPr>
          <w:rFonts w:hint="default" w:eastAsia="Times New Roman" w:cs="Times New Roman"/>
          <w:b w:val="0"/>
          <w:bCs w:val="0"/>
          <w:kern w:val="0"/>
          <w:sz w:val="20"/>
          <w:szCs w:val="20"/>
          <w:lang w:val="en-US" w:eastAsia="zh-CN" w:bidi="ar-SA"/>
        </w:rPr>
        <w:t>’</w:t>
      </w:r>
      <w:r>
        <w:rPr>
          <w:rFonts w:hint="eastAsia" w:eastAsia="Times New Roman" w:cs="Times New Roman"/>
          <w:b w:val="0"/>
          <w:bCs w:val="0"/>
          <w:kern w:val="0"/>
          <w:sz w:val="20"/>
          <w:szCs w:val="20"/>
          <w:lang w:val="en-US" w:eastAsia="zh-CN" w:bidi="ar-SA"/>
        </w:rPr>
        <w:t>s okay to reuse the assumption in TR 38.828. F</w:t>
      </w:r>
      <w:r>
        <w:rPr>
          <w:rFonts w:hint="eastAsia"/>
          <w:lang w:val="en-US" w:eastAsia="zh-CN"/>
        </w:rPr>
        <w:t>or UE distribution mechanism, we also prefer the option 1 to align with legacy approach and could also simplify the simulation platform.</w:t>
      </w:r>
    </w:p>
    <w:p>
      <w:pPr>
        <w:rPr>
          <w:rFonts w:hint="default" w:eastAsia="Times New Roman" w:cs="Times New Roman"/>
          <w:b w:val="0"/>
          <w:bCs w:val="0"/>
          <w:kern w:val="0"/>
          <w:sz w:val="20"/>
          <w:szCs w:val="20"/>
          <w:lang w:val="en-US" w:eastAsia="zh-CN" w:bidi="ar-SA"/>
        </w:rPr>
      </w:pPr>
      <w:r>
        <w:rPr>
          <w:rFonts w:hint="eastAsia" w:eastAsia="Times New Roman" w:cs="Times New Roman"/>
          <w:b/>
          <w:bCs/>
          <w:kern w:val="0"/>
          <w:sz w:val="20"/>
          <w:szCs w:val="20"/>
          <w:lang w:val="en-US" w:eastAsia="zh-CN" w:bidi="ar-SA"/>
        </w:rPr>
        <w:t>Proposal 3:</w:t>
      </w:r>
      <w:r>
        <w:rPr>
          <w:rFonts w:hint="eastAsia" w:eastAsia="Times New Roman" w:cs="Times New Roman"/>
          <w:b w:val="0"/>
          <w:bCs w:val="0"/>
          <w:kern w:val="0"/>
          <w:sz w:val="20"/>
          <w:szCs w:val="20"/>
          <w:lang w:val="en-US" w:eastAsia="zh-CN" w:bidi="ar-SA"/>
        </w:rPr>
        <w:t xml:space="preserve"> for UE distribution for indoor/outdoor UE ratio, okay to reuse the assumption in TR 38.828.</w:t>
      </w:r>
    </w:p>
    <w:p>
      <w:pPr>
        <w:rPr>
          <w:rFonts w:hint="default" w:ascii="Times New Roman" w:hAnsi="Times New Roman" w:eastAsia="Times New Roman" w:cs="Times New Roman"/>
          <w:b w:val="0"/>
          <w:bCs w:val="0"/>
          <w:kern w:val="0"/>
          <w:sz w:val="20"/>
          <w:szCs w:val="20"/>
          <w:lang w:val="en-US" w:eastAsia="zh-CN" w:bidi="ar-SA"/>
        </w:rPr>
      </w:pPr>
    </w:p>
    <w:p>
      <w:pPr>
        <w:rPr>
          <w:rFonts w:hint="eastAsia"/>
          <w:lang w:val="en-US" w:eastAsia="zh-CN"/>
        </w:rPr>
      </w:pPr>
      <w:r>
        <w:rPr>
          <w:rFonts w:hint="eastAsia"/>
          <w:lang w:val="en-US" w:eastAsia="zh-CN"/>
        </w:rPr>
        <w:t>For the BS antenna and TRP considerations, we are open for further discussion. At the current phase, maybe two half of antenna array and two full of antenna array could be both considered. In addition, it should be noted that how to utilize the antenna arrays for Tx and Rx are also under the discussion in RAN1 coexistence study.</w:t>
      </w:r>
    </w:p>
    <w:p>
      <w:pPr>
        <w:rPr>
          <w:rFonts w:hint="default"/>
          <w:lang w:val="en-US" w:eastAsia="zh-CN"/>
        </w:rPr>
      </w:pPr>
      <w:r>
        <w:rPr>
          <w:rFonts w:hint="eastAsia"/>
          <w:lang w:val="en-US" w:eastAsia="zh-CN"/>
        </w:rPr>
        <w:t xml:space="preserve">For FR2 UE Tx assumptions, from our understanding, option 1 is based on FR2 PC3 UE which should be more reasonable assumption, however option 2 is to include the maximum TRP/EIRP limit in the power class definition. </w:t>
      </w:r>
    </w:p>
    <w:p>
      <w:pPr>
        <w:rPr>
          <w:rFonts w:hint="default"/>
          <w:lang w:val="en-US" w:eastAsia="zh-CN"/>
        </w:rPr>
      </w:pPr>
      <w:r>
        <w:rPr>
          <w:rFonts w:hint="eastAsia"/>
          <w:b/>
          <w:bCs/>
          <w:lang w:val="en-US" w:eastAsia="zh-CN"/>
        </w:rPr>
        <w:t>Proposal 4:</w:t>
      </w:r>
      <w:r>
        <w:rPr>
          <w:rFonts w:hint="eastAsia"/>
          <w:lang w:val="en-US" w:eastAsia="zh-CN"/>
        </w:rPr>
        <w:t xml:space="preserve"> for FR2 UE Tx assumption, option 1 is more preferred.</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Simulation assumptions for full duplex coexistence study</w:t>
      </w:r>
    </w:p>
    <w:p>
      <w:pPr>
        <w:pStyle w:val="40"/>
        <w:bidi w:val="0"/>
        <w:ind w:left="0" w:leftChars="0" w:firstLine="0" w:firstLineChars="0"/>
        <w:rPr>
          <w:rFonts w:hint="default"/>
          <w:lang w:val="en-US" w:eastAsia="zh-CN"/>
        </w:rPr>
      </w:pPr>
      <w:r>
        <w:rPr>
          <w:rFonts w:hint="eastAsia"/>
          <w:lang w:val="en-US" w:eastAsia="zh-CN"/>
        </w:rPr>
        <w:t>Based on the agreed simulation assumptions and further proposals in this contribution, some initial simulation results for FR1 are provided as following and more evaluation results would be provided later.</w:t>
      </w:r>
    </w:p>
    <w:p>
      <w:pPr>
        <w:pStyle w:val="40"/>
        <w:bidi w:val="0"/>
        <w:ind w:left="0" w:leftChars="0" w:firstLine="0" w:firstLineChars="0"/>
        <w:jc w:val="center"/>
        <w:rPr>
          <w:rFonts w:hint="default"/>
          <w:b/>
          <w:bCs/>
          <w:lang w:val="en-US" w:eastAsia="zh-CN"/>
        </w:rPr>
      </w:pPr>
      <w:r>
        <w:rPr>
          <w:rFonts w:hint="eastAsia"/>
          <w:b/>
          <w:bCs/>
          <w:lang w:val="en-US" w:eastAsia="zh-CN"/>
        </w:rPr>
        <w:t>Table 1. initial simulation results for FR1 SBFD coexistence study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851"/>
        <w:gridCol w:w="1156"/>
        <w:gridCol w:w="1156"/>
        <w:gridCol w:w="1156"/>
        <w:gridCol w:w="1156"/>
        <w:gridCol w:w="1157"/>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vertAlign w:val="baseline"/>
                <w:lang w:val="en-US" w:eastAsia="zh-CN"/>
              </w:rPr>
              <w:t>Scenario</w:t>
            </w:r>
          </w:p>
        </w:tc>
        <w:tc>
          <w:tcPr>
            <w:tcW w:w="1851"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 xml:space="preserve">DL ACIR Offset [dB] </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-5</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-4</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-3</w:t>
            </w:r>
          </w:p>
        </w:tc>
        <w:tc>
          <w:tcPr>
            <w:tcW w:w="1156"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-2</w:t>
            </w:r>
          </w:p>
        </w:tc>
        <w:tc>
          <w:tcPr>
            <w:tcW w:w="1157"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-1</w:t>
            </w:r>
          </w:p>
        </w:tc>
        <w:tc>
          <w:tcPr>
            <w:tcW w:w="1158"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restart"/>
            <w:shd w:val="clear" w:color="auto" w:fill="D7D7D7" w:themeFill="background1" w:themeFillShade="D8"/>
          </w:tcPr>
          <w:p>
            <w:pPr>
              <w:pStyle w:val="40"/>
              <w:bidi w:val="0"/>
              <w:ind w:left="0" w:leftChars="0" w:firstLine="0" w:firstLineChars="0"/>
              <w:jc w:val="both"/>
              <w:rPr>
                <w:rFonts w:hint="default" w:eastAsia="宋体"/>
                <w:lang w:val="en-US" w:eastAsia="zh-CN"/>
              </w:rPr>
            </w:pPr>
            <w:r>
              <w:rPr>
                <w:rFonts w:hint="eastAsia" w:eastAsia="宋体"/>
                <w:lang w:val="en-US" w:eastAsia="zh-CN"/>
              </w:rPr>
              <w:t>FR1 Urban macro to Urban macro</w:t>
            </w:r>
          </w:p>
        </w:tc>
        <w:tc>
          <w:tcPr>
            <w:tcW w:w="1851" w:type="dxa"/>
          </w:tcPr>
          <w:p>
            <w:pPr>
              <w:pStyle w:val="40"/>
              <w:bidi w:val="0"/>
              <w:ind w:left="0" w:leftChars="0" w:firstLine="0" w:firstLineChars="0"/>
              <w:jc w:val="both"/>
              <w:rPr>
                <w:rFonts w:hint="default"/>
                <w:vertAlign w:val="baseline"/>
                <w:lang w:val="en-US" w:eastAsia="zh-CN"/>
              </w:rPr>
            </w:pPr>
            <w:r>
              <w:t>Throughput lost at Average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0.4215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0.5270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0.6207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0.7155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0.8514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1.0041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continue"/>
            <w:shd w:val="clear" w:color="auto" w:fill="D7D7D7" w:themeFill="background1" w:themeFillShade="D8"/>
          </w:tcPr>
          <w:p>
            <w:pPr>
              <w:pStyle w:val="40"/>
              <w:bidi w:val="0"/>
              <w:ind w:left="0" w:leftChars="0" w:firstLine="0" w:firstLineChars="0"/>
              <w:jc w:val="both"/>
            </w:pPr>
          </w:p>
        </w:tc>
        <w:tc>
          <w:tcPr>
            <w:tcW w:w="1851" w:type="dxa"/>
          </w:tcPr>
          <w:p>
            <w:pPr>
              <w:pStyle w:val="40"/>
              <w:bidi w:val="0"/>
              <w:ind w:left="0" w:leftChars="0" w:firstLine="0" w:firstLineChars="0"/>
              <w:jc w:val="both"/>
              <w:rPr>
                <w:rFonts w:hint="eastAsia"/>
                <w:vertAlign w:val="baseline"/>
                <w:lang w:val="en-US" w:eastAsia="zh-CN"/>
              </w:rPr>
            </w:pPr>
            <w:r>
              <w:t>Throughput lost at 5%-tile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1.8495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1.8496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2.1042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2.1043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2.2440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2.3318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restart"/>
            <w:shd w:val="clear" w:color="auto" w:fill="D7D7D7" w:themeFill="background1" w:themeFillShade="D8"/>
            <w:vAlign w:val="top"/>
          </w:tcPr>
          <w:p>
            <w:pPr>
              <w:pStyle w:val="40"/>
              <w:bidi w:val="0"/>
              <w:ind w:left="0" w:leftChars="0" w:firstLine="0" w:firstLineChars="0"/>
              <w:jc w:val="both"/>
              <w:rPr>
                <w:rFonts w:hint="default"/>
                <w:lang w:val="en-US"/>
              </w:rPr>
            </w:pPr>
            <w:r>
              <w:rPr>
                <w:rFonts w:hint="eastAsia" w:eastAsia="宋体"/>
                <w:lang w:val="en-US" w:eastAsia="zh-CN"/>
              </w:rPr>
              <w:t>FR1 Indoor to indoor</w:t>
            </w:r>
          </w:p>
        </w:tc>
        <w:tc>
          <w:tcPr>
            <w:tcW w:w="1851" w:type="dxa"/>
            <w:vAlign w:val="top"/>
          </w:tcPr>
          <w:p>
            <w:pPr>
              <w:pStyle w:val="40"/>
              <w:bidi w:val="0"/>
              <w:ind w:left="0" w:leftChars="0" w:firstLine="0" w:firstLineChars="0"/>
              <w:jc w:val="both"/>
              <w:rPr>
                <w:rFonts w:hint="eastAsia"/>
                <w:vertAlign w:val="baseline"/>
                <w:lang w:val="en-US" w:eastAsia="zh-CN"/>
              </w:rPr>
            </w:pPr>
            <w:r>
              <w:t>Throughput lost at Average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0.2366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0.2933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0.3641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0.4510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0.5560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0.6835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vMerge w:val="continue"/>
            <w:shd w:val="clear" w:color="auto" w:fill="D7D7D7" w:themeFill="background1" w:themeFillShade="D8"/>
            <w:vAlign w:val="top"/>
          </w:tcPr>
          <w:p>
            <w:pPr>
              <w:pStyle w:val="40"/>
              <w:bidi w:val="0"/>
              <w:ind w:left="0" w:leftChars="0" w:firstLine="0" w:firstLineChars="0"/>
              <w:jc w:val="both"/>
            </w:pPr>
          </w:p>
        </w:tc>
        <w:tc>
          <w:tcPr>
            <w:tcW w:w="1851" w:type="dxa"/>
            <w:vAlign w:val="top"/>
          </w:tcPr>
          <w:p>
            <w:pPr>
              <w:pStyle w:val="40"/>
              <w:bidi w:val="0"/>
              <w:ind w:left="0" w:leftChars="0" w:firstLine="0" w:firstLineChars="0"/>
              <w:jc w:val="both"/>
              <w:rPr>
                <w:rFonts w:hint="eastAsia"/>
                <w:vertAlign w:val="baseline"/>
                <w:lang w:val="en-US" w:eastAsia="zh-CN"/>
              </w:rPr>
            </w:pPr>
            <w:r>
              <w:t>Throughput lost at 5%-tile</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0.0041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0.0052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0.0065 </w:t>
            </w:r>
          </w:p>
        </w:tc>
        <w:tc>
          <w:tcPr>
            <w:tcW w:w="1156"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0.0082 </w:t>
            </w:r>
          </w:p>
        </w:tc>
        <w:tc>
          <w:tcPr>
            <w:tcW w:w="1157"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0.0104 </w:t>
            </w:r>
          </w:p>
        </w:tc>
        <w:tc>
          <w:tcPr>
            <w:tcW w:w="1158" w:type="dxa"/>
            <w:vAlign w:val="top"/>
          </w:tcPr>
          <w:p>
            <w:pPr>
              <w:pStyle w:val="40"/>
              <w:bidi w:val="0"/>
              <w:ind w:left="0" w:leftChars="0" w:firstLine="0" w:firstLineChars="0"/>
              <w:jc w:val="both"/>
              <w:rPr>
                <w:rFonts w:hint="eastAsia"/>
                <w:lang w:val="en-US" w:eastAsia="zh-CN"/>
              </w:rPr>
            </w:pPr>
            <w:r>
              <w:rPr>
                <w:rFonts w:hint="eastAsia"/>
                <w:lang w:val="en-US" w:eastAsia="zh-CN"/>
              </w:rPr>
              <w:t xml:space="preserve">0.0130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8"/>
            <w:shd w:val="clear" w:color="auto" w:fill="auto"/>
            <w:vAlign w:val="top"/>
          </w:tcPr>
          <w:p>
            <w:pPr>
              <w:keepNext w:val="0"/>
              <w:keepLines w:val="0"/>
              <w:widowControl/>
              <w:suppressLineNumbers w:val="0"/>
              <w:jc w:val="both"/>
              <w:textAlignment w:val="top"/>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Times New Roman" w:cs="Times New Roman"/>
                <w:kern w:val="0"/>
                <w:sz w:val="20"/>
                <w:szCs w:val="20"/>
                <w:vertAlign w:val="baseline"/>
                <w:lang w:val="en-US" w:eastAsia="zh-CN" w:bidi="ar-SA"/>
              </w:rPr>
              <w:t xml:space="preserve">NOTE: Baseline ACIR is assumed as 32.73dB with BS DL ACLR 45dB and UE ACS 33dBc. </w:t>
            </w:r>
          </w:p>
        </w:tc>
      </w:tr>
    </w:tbl>
    <w:p>
      <w:pPr>
        <w:pStyle w:val="40"/>
        <w:bidi w:val="0"/>
        <w:ind w:left="0" w:leftChars="0" w:firstLine="0" w:firstLineChars="0"/>
        <w:jc w:val="both"/>
        <w:rPr>
          <w:rFonts w:hint="default"/>
          <w:b w:val="0"/>
          <w:bCs w:val="0"/>
          <w:lang w:val="en-US" w:eastAsia="zh-CN"/>
        </w:rPr>
      </w:pPr>
      <w:r>
        <w:rPr>
          <w:rFonts w:hint="eastAsia"/>
          <w:b/>
          <w:bCs/>
          <w:lang w:val="en-US" w:eastAsia="zh-CN"/>
        </w:rPr>
        <w:t xml:space="preserve">Observation 1: </w:t>
      </w:r>
      <w:r>
        <w:rPr>
          <w:rFonts w:hint="eastAsia"/>
          <w:b w:val="0"/>
          <w:bCs w:val="0"/>
          <w:lang w:val="en-US" w:eastAsia="zh-CN"/>
        </w:rPr>
        <w:t xml:space="preserve">for FR1 SBFD BS following the existing FR1 RF requirements, the interference from SBFD BS to the legacy NR BS in DL slot is quite limited and meet the 5% throughput loss. </w:t>
      </w:r>
    </w:p>
    <w:p>
      <w:pPr>
        <w:pStyle w:val="40"/>
        <w:bidi w:val="0"/>
        <w:ind w:left="0" w:leftChars="0" w:firstLine="0" w:firstLineChars="0"/>
        <w:jc w:val="center"/>
        <w:rPr>
          <w:rFonts w:hint="default"/>
          <w:color w:val="FF0000"/>
          <w:lang w:val="en-US" w:eastAsia="zh-CN"/>
        </w:rPr>
      </w:pPr>
      <w:r>
        <w:rPr>
          <w:rFonts w:hint="eastAsia"/>
          <w:color w:val="FF0000"/>
          <w:lang w:val="en-US" w:eastAsia="zh-CN"/>
        </w:rPr>
        <w:t>More simulation results would be provided later.</w:t>
      </w:r>
    </w:p>
    <w:p>
      <w:pPr>
        <w:pStyle w:val="40"/>
        <w:bidi w:val="0"/>
        <w:ind w:left="0" w:leftChars="0" w:firstLine="0" w:firstLineChars="0"/>
        <w:jc w:val="center"/>
        <w:rPr>
          <w:rFonts w:hint="eastAsia"/>
          <w:b/>
          <w:bCs/>
          <w:lang w:val="en-US" w:eastAsia="zh-CN"/>
        </w:rPr>
      </w:pPr>
      <w:r>
        <w:rPr>
          <w:rFonts w:hint="eastAsia"/>
          <w:b/>
          <w:bCs/>
          <w:lang w:val="en-US" w:eastAsia="zh-CN"/>
        </w:rPr>
        <w:t>Table 2. initial simulation results for FR2 SBFD coexistence study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851"/>
        <w:gridCol w:w="1154"/>
        <w:gridCol w:w="1154"/>
        <w:gridCol w:w="1155"/>
        <w:gridCol w:w="1155"/>
        <w:gridCol w:w="1155"/>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vertAlign w:val="baseline"/>
                <w:lang w:val="en-US" w:eastAsia="zh-CN"/>
              </w:rPr>
              <w:t>Scenario</w:t>
            </w:r>
          </w:p>
        </w:tc>
        <w:tc>
          <w:tcPr>
            <w:tcW w:w="1851"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ACIR Offset</w:t>
            </w:r>
          </w:p>
        </w:tc>
        <w:tc>
          <w:tcPr>
            <w:tcW w:w="1154"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-5</w:t>
            </w:r>
          </w:p>
        </w:tc>
        <w:tc>
          <w:tcPr>
            <w:tcW w:w="1154"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-4</w:t>
            </w:r>
          </w:p>
        </w:tc>
        <w:tc>
          <w:tcPr>
            <w:tcW w:w="115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-3</w:t>
            </w:r>
          </w:p>
        </w:tc>
        <w:tc>
          <w:tcPr>
            <w:tcW w:w="115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-2</w:t>
            </w:r>
          </w:p>
        </w:tc>
        <w:tc>
          <w:tcPr>
            <w:tcW w:w="115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-1</w:t>
            </w:r>
          </w:p>
        </w:tc>
        <w:tc>
          <w:tcPr>
            <w:tcW w:w="1145" w:type="dxa"/>
            <w:shd w:val="clear" w:color="auto" w:fill="D7D7D7" w:themeFill="background1" w:themeFillShade="D8"/>
          </w:tcPr>
          <w:p>
            <w:pPr>
              <w:pStyle w:val="40"/>
              <w:bidi w:val="0"/>
              <w:rPr>
                <w:rFonts w:hint="default"/>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restart"/>
            <w:shd w:val="clear" w:color="auto" w:fill="D7D7D7" w:themeFill="background1" w:themeFillShade="D8"/>
          </w:tcPr>
          <w:p>
            <w:pPr>
              <w:pStyle w:val="40"/>
              <w:bidi w:val="0"/>
              <w:ind w:left="0" w:leftChars="0" w:firstLine="0" w:firstLineChars="0"/>
              <w:jc w:val="both"/>
              <w:rPr>
                <w:rFonts w:hint="default" w:eastAsia="宋体"/>
                <w:lang w:val="en-US" w:eastAsia="zh-CN"/>
              </w:rPr>
            </w:pPr>
            <w:r>
              <w:rPr>
                <w:rFonts w:hint="eastAsia" w:eastAsia="宋体"/>
                <w:lang w:val="en-US" w:eastAsia="zh-CN"/>
              </w:rPr>
              <w:t>FR2 Urban macro to Urban macro</w:t>
            </w:r>
          </w:p>
        </w:tc>
        <w:tc>
          <w:tcPr>
            <w:tcW w:w="1851" w:type="dxa"/>
          </w:tcPr>
          <w:p>
            <w:pPr>
              <w:pStyle w:val="40"/>
              <w:bidi w:val="0"/>
              <w:ind w:left="0" w:leftChars="0" w:firstLine="0" w:firstLineChars="0"/>
              <w:jc w:val="both"/>
              <w:rPr>
                <w:rFonts w:hint="default"/>
                <w:vertAlign w:val="baseline"/>
                <w:lang w:val="en-US" w:eastAsia="zh-CN"/>
              </w:rPr>
            </w:pPr>
            <w:r>
              <w:t>Throughput lost at Average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continue"/>
            <w:shd w:val="clear" w:color="auto" w:fill="D7D7D7" w:themeFill="background1" w:themeFillShade="D8"/>
          </w:tcPr>
          <w:p>
            <w:pPr>
              <w:pStyle w:val="40"/>
              <w:bidi w:val="0"/>
              <w:ind w:left="0" w:leftChars="0" w:firstLine="0" w:firstLineChars="0"/>
              <w:jc w:val="both"/>
            </w:pPr>
          </w:p>
        </w:tc>
        <w:tc>
          <w:tcPr>
            <w:tcW w:w="1851" w:type="dxa"/>
          </w:tcPr>
          <w:p>
            <w:pPr>
              <w:pStyle w:val="40"/>
              <w:bidi w:val="0"/>
              <w:ind w:left="0" w:leftChars="0" w:firstLine="0" w:firstLineChars="0"/>
              <w:jc w:val="both"/>
              <w:rPr>
                <w:rFonts w:hint="eastAsia"/>
                <w:vertAlign w:val="baseline"/>
                <w:lang w:val="en-US" w:eastAsia="zh-CN"/>
              </w:rPr>
            </w:pPr>
            <w:r>
              <w:t>Throughput lost at 5%-tile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restart"/>
            <w:shd w:val="clear" w:color="auto" w:fill="D7D7D7" w:themeFill="background1" w:themeFillShade="D8"/>
            <w:vAlign w:val="top"/>
          </w:tcPr>
          <w:p>
            <w:pPr>
              <w:pStyle w:val="40"/>
              <w:bidi w:val="0"/>
              <w:ind w:left="0" w:leftChars="0" w:firstLine="0" w:firstLineChars="0"/>
              <w:jc w:val="both"/>
              <w:rPr>
                <w:rFonts w:hint="default"/>
                <w:lang w:val="en-US"/>
              </w:rPr>
            </w:pPr>
            <w:r>
              <w:rPr>
                <w:rFonts w:hint="eastAsia" w:eastAsia="宋体"/>
                <w:lang w:val="en-US" w:eastAsia="zh-CN"/>
              </w:rPr>
              <w:t>FR2 Indoor to indoor</w:t>
            </w:r>
          </w:p>
        </w:tc>
        <w:tc>
          <w:tcPr>
            <w:tcW w:w="1851" w:type="dxa"/>
            <w:vAlign w:val="top"/>
          </w:tcPr>
          <w:p>
            <w:pPr>
              <w:pStyle w:val="40"/>
              <w:bidi w:val="0"/>
              <w:ind w:left="0" w:leftChars="0" w:firstLine="0" w:firstLineChars="0"/>
              <w:jc w:val="both"/>
              <w:rPr>
                <w:rFonts w:hint="eastAsia"/>
                <w:vertAlign w:val="baseline"/>
                <w:lang w:val="en-US" w:eastAsia="zh-CN"/>
              </w:rPr>
            </w:pPr>
            <w:r>
              <w:t>Throughput lost at Average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vMerge w:val="continue"/>
            <w:shd w:val="clear" w:color="auto" w:fill="D7D7D7" w:themeFill="background1" w:themeFillShade="D8"/>
            <w:vAlign w:val="top"/>
          </w:tcPr>
          <w:p>
            <w:pPr>
              <w:pStyle w:val="40"/>
              <w:bidi w:val="0"/>
              <w:ind w:left="0" w:leftChars="0" w:firstLine="0" w:firstLineChars="0"/>
              <w:jc w:val="both"/>
            </w:pPr>
          </w:p>
        </w:tc>
        <w:tc>
          <w:tcPr>
            <w:tcW w:w="1851" w:type="dxa"/>
            <w:vAlign w:val="top"/>
          </w:tcPr>
          <w:p>
            <w:pPr>
              <w:pStyle w:val="40"/>
              <w:bidi w:val="0"/>
              <w:ind w:left="0" w:leftChars="0" w:firstLine="0" w:firstLineChars="0"/>
              <w:jc w:val="both"/>
              <w:rPr>
                <w:rFonts w:hint="eastAsia"/>
                <w:vertAlign w:val="baseline"/>
                <w:lang w:val="en-US" w:eastAsia="zh-CN"/>
              </w:rPr>
            </w:pPr>
            <w:r>
              <w:t>Throughput lost at 5%-tile</w:t>
            </w:r>
          </w:p>
        </w:tc>
        <w:tc>
          <w:tcPr>
            <w:tcW w:w="1154" w:type="dxa"/>
          </w:tcPr>
          <w:p>
            <w:pPr>
              <w:pStyle w:val="40"/>
              <w:bidi w:val="0"/>
              <w:rPr>
                <w:rFonts w:hint="eastAsia"/>
                <w:vertAlign w:val="baseline"/>
                <w:lang w:val="en-US" w:eastAsia="zh-CN"/>
              </w:rPr>
            </w:pPr>
          </w:p>
        </w:tc>
        <w:tc>
          <w:tcPr>
            <w:tcW w:w="1154"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55" w:type="dxa"/>
          </w:tcPr>
          <w:p>
            <w:pPr>
              <w:pStyle w:val="40"/>
              <w:bidi w:val="0"/>
              <w:rPr>
                <w:rFonts w:hint="eastAsia"/>
                <w:vertAlign w:val="baseline"/>
                <w:lang w:val="en-US" w:eastAsia="zh-CN"/>
              </w:rPr>
            </w:pPr>
          </w:p>
        </w:tc>
        <w:tc>
          <w:tcPr>
            <w:tcW w:w="1145" w:type="dxa"/>
          </w:tcPr>
          <w:p>
            <w:pPr>
              <w:pStyle w:val="40"/>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8"/>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vertAlign w:val="baseline"/>
                <w:lang w:val="en-US" w:eastAsia="zh-CN"/>
              </w:rPr>
            </w:pPr>
            <w:r>
              <w:rPr>
                <w:rFonts w:hint="eastAsia" w:ascii="Times New Roman" w:hAnsi="Times New Roman" w:eastAsia="Times New Roman" w:cs="Times New Roman"/>
                <w:kern w:val="0"/>
                <w:sz w:val="20"/>
                <w:szCs w:val="20"/>
                <w:vertAlign w:val="baseline"/>
                <w:lang w:val="en-US" w:eastAsia="zh-CN" w:bidi="ar-SA"/>
              </w:rPr>
              <w:t xml:space="preserve">NOTE: Baseline ACIR is assumed as dB with BS DL ACLR </w:t>
            </w:r>
            <w:r>
              <w:rPr>
                <w:rFonts w:hint="eastAsia" w:cs="Times New Roman"/>
                <w:kern w:val="0"/>
                <w:sz w:val="20"/>
                <w:szCs w:val="20"/>
                <w:vertAlign w:val="baseline"/>
                <w:lang w:val="en-US" w:eastAsia="zh-CN" w:bidi="ar-SA"/>
              </w:rPr>
              <w:t>28</w:t>
            </w:r>
            <w:r>
              <w:rPr>
                <w:rFonts w:hint="eastAsia" w:ascii="Times New Roman" w:hAnsi="Times New Roman" w:eastAsia="Times New Roman" w:cs="Times New Roman"/>
                <w:kern w:val="0"/>
                <w:sz w:val="20"/>
                <w:szCs w:val="20"/>
                <w:vertAlign w:val="baseline"/>
                <w:lang w:val="en-US" w:eastAsia="zh-CN" w:bidi="ar-SA"/>
              </w:rPr>
              <w:t xml:space="preserve">dB and UE ACS </w:t>
            </w:r>
            <w:r>
              <w:rPr>
                <w:rFonts w:hint="eastAsia" w:cs="Times New Roman"/>
                <w:kern w:val="0"/>
                <w:sz w:val="20"/>
                <w:szCs w:val="20"/>
                <w:vertAlign w:val="baseline"/>
                <w:lang w:val="en-US" w:eastAsia="zh-CN" w:bidi="ar-SA"/>
              </w:rPr>
              <w:t>2</w:t>
            </w:r>
            <w:r>
              <w:rPr>
                <w:rFonts w:hint="eastAsia" w:ascii="Times New Roman" w:hAnsi="Times New Roman" w:eastAsia="Times New Roman" w:cs="Times New Roman"/>
                <w:kern w:val="0"/>
                <w:sz w:val="20"/>
                <w:szCs w:val="20"/>
                <w:vertAlign w:val="baseline"/>
                <w:lang w:val="en-US" w:eastAsia="zh-CN" w:bidi="ar-SA"/>
              </w:rPr>
              <w:t xml:space="preserve">3dBc. </w:t>
            </w:r>
          </w:p>
        </w:tc>
      </w:tr>
    </w:tbl>
    <w:p>
      <w:pPr>
        <w:pStyle w:val="40"/>
        <w:bidi w:val="0"/>
        <w:ind w:left="0" w:leftChars="0" w:firstLine="0" w:firstLineChars="0"/>
        <w:rPr>
          <w:rFonts w:hint="eastAsia"/>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b w:val="0"/>
          <w:bCs w:val="0"/>
          <w:lang w:val="en-US" w:eastAsia="zh-CN"/>
        </w:rPr>
      </w:pPr>
      <w:r>
        <w:rPr>
          <w:rFonts w:hint="eastAsia"/>
          <w:b/>
          <w:bCs/>
          <w:lang w:val="en-US" w:eastAsia="zh-CN"/>
        </w:rPr>
        <w:t xml:space="preserve">Proposal 1: </w:t>
      </w:r>
      <w:r>
        <w:rPr>
          <w:rFonts w:hint="eastAsia"/>
          <w:b w:val="0"/>
          <w:bCs w:val="0"/>
          <w:lang w:val="en-US" w:eastAsia="zh-CN"/>
        </w:rPr>
        <w:t>to further consider the applicable range of UMi channel model for UE to UE pathloss model in Urban macro scenario.</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b w:val="0"/>
          <w:bCs w:val="0"/>
          <w:lang w:val="en-US" w:eastAsia="zh-CN"/>
        </w:rPr>
      </w:pPr>
      <w:r>
        <w:rPr>
          <w:rFonts w:hint="eastAsia"/>
          <w:b/>
          <w:bCs/>
          <w:lang w:val="en-US" w:eastAsia="zh-CN"/>
        </w:rPr>
        <w:t xml:space="preserve">Proposal 2: </w:t>
      </w:r>
      <w:r>
        <w:rPr>
          <w:rFonts w:hint="eastAsia"/>
          <w:b w:val="0"/>
          <w:bCs w:val="0"/>
          <w:lang w:val="en-US" w:eastAsia="zh-CN"/>
        </w:rPr>
        <w:t>to start with 100% grid shift and further consider the 0% grid shift if the feasibility for co-site CLI is confirmed</w:t>
      </w:r>
    </w:p>
    <w:p>
      <w:pPr>
        <w:rPr>
          <w:rFonts w:hint="eastAsia" w:eastAsia="Times New Roman" w:cs="Times New Roman"/>
          <w:b w:val="0"/>
          <w:bCs w:val="0"/>
          <w:kern w:val="0"/>
          <w:sz w:val="20"/>
          <w:szCs w:val="20"/>
          <w:lang w:val="en-US" w:eastAsia="zh-CN" w:bidi="ar-SA"/>
        </w:rPr>
      </w:pPr>
      <w:r>
        <w:rPr>
          <w:rFonts w:hint="eastAsia" w:eastAsia="Times New Roman" w:cs="Times New Roman"/>
          <w:b/>
          <w:bCs/>
          <w:kern w:val="0"/>
          <w:sz w:val="20"/>
          <w:szCs w:val="20"/>
          <w:lang w:val="en-US" w:eastAsia="zh-CN" w:bidi="ar-SA"/>
        </w:rPr>
        <w:t>Proposal 3:</w:t>
      </w:r>
      <w:r>
        <w:rPr>
          <w:rFonts w:hint="eastAsia" w:eastAsia="Times New Roman" w:cs="Times New Roman"/>
          <w:b w:val="0"/>
          <w:bCs w:val="0"/>
          <w:kern w:val="0"/>
          <w:sz w:val="20"/>
          <w:szCs w:val="20"/>
          <w:lang w:val="en-US" w:eastAsia="zh-CN" w:bidi="ar-SA"/>
        </w:rPr>
        <w:t xml:space="preserve"> for UE distribution for indoor/outdoor UE ratio, okay to reuse the assumption in TR 38.828.</w:t>
      </w:r>
    </w:p>
    <w:p>
      <w:pPr>
        <w:rPr>
          <w:rFonts w:hint="default"/>
          <w:lang w:val="en-US" w:eastAsia="zh-CN"/>
        </w:rPr>
      </w:pPr>
      <w:r>
        <w:rPr>
          <w:rFonts w:hint="eastAsia"/>
          <w:b/>
          <w:bCs/>
          <w:lang w:val="en-US" w:eastAsia="zh-CN"/>
        </w:rPr>
        <w:t>Proposal 4:</w:t>
      </w:r>
      <w:r>
        <w:rPr>
          <w:rFonts w:hint="eastAsia"/>
          <w:lang w:val="en-US" w:eastAsia="zh-CN"/>
        </w:rPr>
        <w:t xml:space="preserve"> for FR2 UE Tx assumption, option 1 is more preferred.</w:t>
      </w:r>
    </w:p>
    <w:p>
      <w:pPr>
        <w:rPr>
          <w:rFonts w:hint="eastAsia" w:eastAsia="Times New Roman" w:cs="Times New Roman"/>
          <w:b w:val="0"/>
          <w:bCs w:val="0"/>
          <w:kern w:val="0"/>
          <w:sz w:val="20"/>
          <w:szCs w:val="20"/>
          <w:lang w:val="en-US" w:eastAsia="zh-CN" w:bidi="ar-SA"/>
        </w:rPr>
      </w:pPr>
      <w:r>
        <w:rPr>
          <w:rFonts w:hint="eastAsia"/>
          <w:b/>
          <w:bCs/>
          <w:lang w:val="en-US" w:eastAsia="zh-CN"/>
        </w:rPr>
        <w:t xml:space="preserve">Observation 1: </w:t>
      </w:r>
      <w:r>
        <w:rPr>
          <w:rFonts w:hint="eastAsia"/>
          <w:b w:val="0"/>
          <w:bCs w:val="0"/>
          <w:lang w:val="en-US" w:eastAsia="zh-CN"/>
        </w:rPr>
        <w:t>for FR1 SBFD BS following the existing FR1 RF requirements, the interference from SBFD BS to the legacy NR BS in DL slot is quite limited and meet the 5% throughput loss.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4"/>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4"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3183D1E"/>
    <w:multiLevelType w:val="multilevel"/>
    <w:tmpl w:val="13183D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6CD5425"/>
    <w:multiLevelType w:val="multilevel"/>
    <w:tmpl w:val="76CD5425"/>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12222"/>
    <w:rsid w:val="01324DB6"/>
    <w:rsid w:val="013A4C94"/>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402CD"/>
    <w:rsid w:val="01A742A2"/>
    <w:rsid w:val="01BE34DB"/>
    <w:rsid w:val="01BE6ACE"/>
    <w:rsid w:val="01C027D4"/>
    <w:rsid w:val="01C32135"/>
    <w:rsid w:val="01C36EA6"/>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850EF"/>
    <w:rsid w:val="02293A2A"/>
    <w:rsid w:val="022D5BF3"/>
    <w:rsid w:val="022F6559"/>
    <w:rsid w:val="022F66E0"/>
    <w:rsid w:val="0238292F"/>
    <w:rsid w:val="023E7088"/>
    <w:rsid w:val="0240545F"/>
    <w:rsid w:val="024C13AB"/>
    <w:rsid w:val="02532AA9"/>
    <w:rsid w:val="025732DD"/>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74924"/>
    <w:rsid w:val="03822F79"/>
    <w:rsid w:val="0395764C"/>
    <w:rsid w:val="039B69FD"/>
    <w:rsid w:val="03A32E58"/>
    <w:rsid w:val="03AF2EA3"/>
    <w:rsid w:val="03C0647A"/>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856247"/>
    <w:rsid w:val="04865E52"/>
    <w:rsid w:val="048829D4"/>
    <w:rsid w:val="04892630"/>
    <w:rsid w:val="049B40DC"/>
    <w:rsid w:val="049D0645"/>
    <w:rsid w:val="04D66461"/>
    <w:rsid w:val="050400BD"/>
    <w:rsid w:val="051034CD"/>
    <w:rsid w:val="051F43BC"/>
    <w:rsid w:val="052432F7"/>
    <w:rsid w:val="05280A89"/>
    <w:rsid w:val="05367F8C"/>
    <w:rsid w:val="053B4CE1"/>
    <w:rsid w:val="053E1AC2"/>
    <w:rsid w:val="0545651B"/>
    <w:rsid w:val="05583DC1"/>
    <w:rsid w:val="055A77BF"/>
    <w:rsid w:val="05674A33"/>
    <w:rsid w:val="05687505"/>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8086F"/>
    <w:rsid w:val="07220D76"/>
    <w:rsid w:val="072717DA"/>
    <w:rsid w:val="07277193"/>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6BE4"/>
    <w:rsid w:val="07A2728D"/>
    <w:rsid w:val="07AA3E51"/>
    <w:rsid w:val="07BE51B2"/>
    <w:rsid w:val="07D835FB"/>
    <w:rsid w:val="07DD018B"/>
    <w:rsid w:val="07E014BE"/>
    <w:rsid w:val="07E04AA8"/>
    <w:rsid w:val="07E85751"/>
    <w:rsid w:val="07ED5339"/>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942BDF"/>
    <w:rsid w:val="089852F1"/>
    <w:rsid w:val="08990610"/>
    <w:rsid w:val="089B5449"/>
    <w:rsid w:val="089D6B7D"/>
    <w:rsid w:val="08A03B5E"/>
    <w:rsid w:val="08A275F2"/>
    <w:rsid w:val="08B21918"/>
    <w:rsid w:val="08B40442"/>
    <w:rsid w:val="08B94847"/>
    <w:rsid w:val="08C14001"/>
    <w:rsid w:val="08CE26F8"/>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414B73"/>
    <w:rsid w:val="0A5056C6"/>
    <w:rsid w:val="0A5060D6"/>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D0A79"/>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621E4"/>
    <w:rsid w:val="0DDD2372"/>
    <w:rsid w:val="0DDE1317"/>
    <w:rsid w:val="0DE20C07"/>
    <w:rsid w:val="0DE55D4A"/>
    <w:rsid w:val="0DEE77C3"/>
    <w:rsid w:val="0DF0225F"/>
    <w:rsid w:val="0DF367C2"/>
    <w:rsid w:val="0DFC48AF"/>
    <w:rsid w:val="0DFF2594"/>
    <w:rsid w:val="0E0313B1"/>
    <w:rsid w:val="0E062A96"/>
    <w:rsid w:val="0E0D1A47"/>
    <w:rsid w:val="0E0F22A2"/>
    <w:rsid w:val="0E176FCD"/>
    <w:rsid w:val="0E1C0C6C"/>
    <w:rsid w:val="0E281319"/>
    <w:rsid w:val="0E305B2B"/>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BD41CA"/>
    <w:rsid w:val="0EBF2B04"/>
    <w:rsid w:val="0EC11B24"/>
    <w:rsid w:val="0EC468A2"/>
    <w:rsid w:val="0ECA0784"/>
    <w:rsid w:val="0ECC4066"/>
    <w:rsid w:val="0ECE7C5F"/>
    <w:rsid w:val="0ED12B32"/>
    <w:rsid w:val="0EDA48C8"/>
    <w:rsid w:val="0EF75D05"/>
    <w:rsid w:val="0EF957FE"/>
    <w:rsid w:val="0EFE2ACB"/>
    <w:rsid w:val="0F0D240A"/>
    <w:rsid w:val="0F0E2F3A"/>
    <w:rsid w:val="0F12247A"/>
    <w:rsid w:val="0F1632AC"/>
    <w:rsid w:val="0F1D0ECD"/>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D95333"/>
    <w:rsid w:val="0FEC322B"/>
    <w:rsid w:val="0FEC6EF6"/>
    <w:rsid w:val="10045EE6"/>
    <w:rsid w:val="100C1580"/>
    <w:rsid w:val="100D3B17"/>
    <w:rsid w:val="101277B8"/>
    <w:rsid w:val="10154FE6"/>
    <w:rsid w:val="1023666E"/>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A2129"/>
    <w:rsid w:val="10924B2D"/>
    <w:rsid w:val="10953B42"/>
    <w:rsid w:val="10AD50EB"/>
    <w:rsid w:val="10B65EE4"/>
    <w:rsid w:val="10B7486E"/>
    <w:rsid w:val="10CC5735"/>
    <w:rsid w:val="10D679E0"/>
    <w:rsid w:val="10EA64F6"/>
    <w:rsid w:val="10FA45D2"/>
    <w:rsid w:val="11024527"/>
    <w:rsid w:val="110269D8"/>
    <w:rsid w:val="110A4489"/>
    <w:rsid w:val="11150F62"/>
    <w:rsid w:val="111A28E5"/>
    <w:rsid w:val="112F54D2"/>
    <w:rsid w:val="1133321C"/>
    <w:rsid w:val="11457D8C"/>
    <w:rsid w:val="11461F96"/>
    <w:rsid w:val="114C3CA8"/>
    <w:rsid w:val="114D3A1D"/>
    <w:rsid w:val="11562BF2"/>
    <w:rsid w:val="11576536"/>
    <w:rsid w:val="11607F73"/>
    <w:rsid w:val="11613A1B"/>
    <w:rsid w:val="116A06B8"/>
    <w:rsid w:val="11703DE0"/>
    <w:rsid w:val="117561EB"/>
    <w:rsid w:val="117824F0"/>
    <w:rsid w:val="117E2370"/>
    <w:rsid w:val="11800455"/>
    <w:rsid w:val="11847341"/>
    <w:rsid w:val="11996649"/>
    <w:rsid w:val="11AA61BD"/>
    <w:rsid w:val="11AC7561"/>
    <w:rsid w:val="11AE6531"/>
    <w:rsid w:val="11AF439E"/>
    <w:rsid w:val="11B33D02"/>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01423"/>
    <w:rsid w:val="135845C3"/>
    <w:rsid w:val="135F5E4E"/>
    <w:rsid w:val="13681CD8"/>
    <w:rsid w:val="136C67EB"/>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F22B81"/>
    <w:rsid w:val="13F41568"/>
    <w:rsid w:val="13FD4FCC"/>
    <w:rsid w:val="13FE285E"/>
    <w:rsid w:val="1410395F"/>
    <w:rsid w:val="141624C3"/>
    <w:rsid w:val="14220CA7"/>
    <w:rsid w:val="142E6CAD"/>
    <w:rsid w:val="143802F8"/>
    <w:rsid w:val="144442DA"/>
    <w:rsid w:val="144C332C"/>
    <w:rsid w:val="144C6544"/>
    <w:rsid w:val="14754657"/>
    <w:rsid w:val="147D2814"/>
    <w:rsid w:val="14812D74"/>
    <w:rsid w:val="14836C15"/>
    <w:rsid w:val="14862300"/>
    <w:rsid w:val="148C00A0"/>
    <w:rsid w:val="148D3653"/>
    <w:rsid w:val="149E0A7B"/>
    <w:rsid w:val="14A82A63"/>
    <w:rsid w:val="14A86EA4"/>
    <w:rsid w:val="14AC358C"/>
    <w:rsid w:val="14B76730"/>
    <w:rsid w:val="14C20025"/>
    <w:rsid w:val="14C767C8"/>
    <w:rsid w:val="14CB2D0C"/>
    <w:rsid w:val="14DE753E"/>
    <w:rsid w:val="14F51028"/>
    <w:rsid w:val="14F549EC"/>
    <w:rsid w:val="14F92549"/>
    <w:rsid w:val="14FB4950"/>
    <w:rsid w:val="14FD4800"/>
    <w:rsid w:val="14FE45D8"/>
    <w:rsid w:val="150650CB"/>
    <w:rsid w:val="150E6B8B"/>
    <w:rsid w:val="15157DF4"/>
    <w:rsid w:val="151B0462"/>
    <w:rsid w:val="151C45D8"/>
    <w:rsid w:val="15290336"/>
    <w:rsid w:val="15297BD7"/>
    <w:rsid w:val="1546789B"/>
    <w:rsid w:val="155424D6"/>
    <w:rsid w:val="155605E9"/>
    <w:rsid w:val="155B1745"/>
    <w:rsid w:val="155F651D"/>
    <w:rsid w:val="15655F19"/>
    <w:rsid w:val="157348EB"/>
    <w:rsid w:val="157500D8"/>
    <w:rsid w:val="15787FE5"/>
    <w:rsid w:val="157E21FE"/>
    <w:rsid w:val="157E5AA6"/>
    <w:rsid w:val="1587411C"/>
    <w:rsid w:val="158F22B7"/>
    <w:rsid w:val="15A35FB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BA18A0"/>
    <w:rsid w:val="16BD160C"/>
    <w:rsid w:val="16BE109A"/>
    <w:rsid w:val="16C2724F"/>
    <w:rsid w:val="16C336E1"/>
    <w:rsid w:val="16C41FCF"/>
    <w:rsid w:val="16D359B1"/>
    <w:rsid w:val="16DC6856"/>
    <w:rsid w:val="16E7220A"/>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95246"/>
    <w:rsid w:val="175E4288"/>
    <w:rsid w:val="175F6489"/>
    <w:rsid w:val="17652ACF"/>
    <w:rsid w:val="176C704A"/>
    <w:rsid w:val="177653C5"/>
    <w:rsid w:val="17844C56"/>
    <w:rsid w:val="17890F1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583994"/>
    <w:rsid w:val="185E758C"/>
    <w:rsid w:val="186B15D6"/>
    <w:rsid w:val="186C1DBE"/>
    <w:rsid w:val="186C5153"/>
    <w:rsid w:val="186E738D"/>
    <w:rsid w:val="187640ED"/>
    <w:rsid w:val="187E7C23"/>
    <w:rsid w:val="18804AA7"/>
    <w:rsid w:val="188C4F53"/>
    <w:rsid w:val="18A16B9A"/>
    <w:rsid w:val="18A94FC3"/>
    <w:rsid w:val="18AB1905"/>
    <w:rsid w:val="18AC724D"/>
    <w:rsid w:val="18AF5199"/>
    <w:rsid w:val="18AF7C5B"/>
    <w:rsid w:val="18B417E1"/>
    <w:rsid w:val="18C9246D"/>
    <w:rsid w:val="18CC75E7"/>
    <w:rsid w:val="18D3711D"/>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51494"/>
    <w:rsid w:val="1989194D"/>
    <w:rsid w:val="19894C83"/>
    <w:rsid w:val="19975539"/>
    <w:rsid w:val="19A7296F"/>
    <w:rsid w:val="19B94DE5"/>
    <w:rsid w:val="19BB7983"/>
    <w:rsid w:val="19CA4702"/>
    <w:rsid w:val="19D76F77"/>
    <w:rsid w:val="19DE7440"/>
    <w:rsid w:val="19E52105"/>
    <w:rsid w:val="19ED386F"/>
    <w:rsid w:val="19FF1298"/>
    <w:rsid w:val="1A045B87"/>
    <w:rsid w:val="1A200DF2"/>
    <w:rsid w:val="1A21015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D3106"/>
    <w:rsid w:val="1B67249D"/>
    <w:rsid w:val="1B7906CE"/>
    <w:rsid w:val="1B7D07F3"/>
    <w:rsid w:val="1B831B2B"/>
    <w:rsid w:val="1B944685"/>
    <w:rsid w:val="1BA258AE"/>
    <w:rsid w:val="1BA57F07"/>
    <w:rsid w:val="1BA76324"/>
    <w:rsid w:val="1BAA3905"/>
    <w:rsid w:val="1BB01F6E"/>
    <w:rsid w:val="1BB81DD8"/>
    <w:rsid w:val="1BB848C7"/>
    <w:rsid w:val="1BB86F3A"/>
    <w:rsid w:val="1BC72200"/>
    <w:rsid w:val="1BCA7505"/>
    <w:rsid w:val="1BD17478"/>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E3742"/>
    <w:rsid w:val="1C5F23B1"/>
    <w:rsid w:val="1C6D4144"/>
    <w:rsid w:val="1C726EC3"/>
    <w:rsid w:val="1C770FF4"/>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E93AB3"/>
    <w:rsid w:val="1CF333A5"/>
    <w:rsid w:val="1D023336"/>
    <w:rsid w:val="1D031DD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E093D7D"/>
    <w:rsid w:val="1E096C5E"/>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B294F"/>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A2D5C"/>
    <w:rsid w:val="22BC7DF2"/>
    <w:rsid w:val="22BD19A6"/>
    <w:rsid w:val="22BD504B"/>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47497F"/>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7B76"/>
    <w:rsid w:val="24AC41BF"/>
    <w:rsid w:val="24B531E8"/>
    <w:rsid w:val="24B93780"/>
    <w:rsid w:val="24BD38BA"/>
    <w:rsid w:val="24C0685F"/>
    <w:rsid w:val="24CD6DBE"/>
    <w:rsid w:val="24D20A06"/>
    <w:rsid w:val="24D51CDF"/>
    <w:rsid w:val="24E46862"/>
    <w:rsid w:val="24E57853"/>
    <w:rsid w:val="24F17428"/>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F04B7D"/>
    <w:rsid w:val="25F51596"/>
    <w:rsid w:val="25F67042"/>
    <w:rsid w:val="260A55DA"/>
    <w:rsid w:val="260B255C"/>
    <w:rsid w:val="2611495B"/>
    <w:rsid w:val="2618762A"/>
    <w:rsid w:val="261B2E70"/>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738C3"/>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C423E"/>
    <w:rsid w:val="27222699"/>
    <w:rsid w:val="272A3F42"/>
    <w:rsid w:val="273216D6"/>
    <w:rsid w:val="273D1CBA"/>
    <w:rsid w:val="27462901"/>
    <w:rsid w:val="2749419F"/>
    <w:rsid w:val="274A7B1A"/>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80008FF"/>
    <w:rsid w:val="28050D91"/>
    <w:rsid w:val="281035C6"/>
    <w:rsid w:val="28140E2A"/>
    <w:rsid w:val="28255041"/>
    <w:rsid w:val="28261CE7"/>
    <w:rsid w:val="283832F0"/>
    <w:rsid w:val="283A1E3E"/>
    <w:rsid w:val="284543A1"/>
    <w:rsid w:val="28553E1D"/>
    <w:rsid w:val="285909BD"/>
    <w:rsid w:val="28640EC0"/>
    <w:rsid w:val="28693318"/>
    <w:rsid w:val="286B3B61"/>
    <w:rsid w:val="28765DD5"/>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1415DC"/>
    <w:rsid w:val="291712DF"/>
    <w:rsid w:val="29192BE8"/>
    <w:rsid w:val="291C432F"/>
    <w:rsid w:val="291D21EF"/>
    <w:rsid w:val="29235EBB"/>
    <w:rsid w:val="29264B1F"/>
    <w:rsid w:val="292A375F"/>
    <w:rsid w:val="29316984"/>
    <w:rsid w:val="293310A0"/>
    <w:rsid w:val="2938092A"/>
    <w:rsid w:val="293966D9"/>
    <w:rsid w:val="29425246"/>
    <w:rsid w:val="2946144E"/>
    <w:rsid w:val="2946760C"/>
    <w:rsid w:val="294A5BC8"/>
    <w:rsid w:val="29504176"/>
    <w:rsid w:val="296865F6"/>
    <w:rsid w:val="296A2EA7"/>
    <w:rsid w:val="296B20A7"/>
    <w:rsid w:val="297D1A8B"/>
    <w:rsid w:val="298F3574"/>
    <w:rsid w:val="29981CF5"/>
    <w:rsid w:val="29A2384C"/>
    <w:rsid w:val="29A336CB"/>
    <w:rsid w:val="29A4634A"/>
    <w:rsid w:val="29A84DD1"/>
    <w:rsid w:val="29AA2390"/>
    <w:rsid w:val="29B104D1"/>
    <w:rsid w:val="29B85AFC"/>
    <w:rsid w:val="29BB74AF"/>
    <w:rsid w:val="29BC2AA4"/>
    <w:rsid w:val="29CD2270"/>
    <w:rsid w:val="29D22D87"/>
    <w:rsid w:val="29DA58FD"/>
    <w:rsid w:val="29DB020F"/>
    <w:rsid w:val="29E64370"/>
    <w:rsid w:val="29E765AE"/>
    <w:rsid w:val="29EB2636"/>
    <w:rsid w:val="29ED4F50"/>
    <w:rsid w:val="29F05C06"/>
    <w:rsid w:val="29F26903"/>
    <w:rsid w:val="2A06427E"/>
    <w:rsid w:val="2A0F1A72"/>
    <w:rsid w:val="2A0F7591"/>
    <w:rsid w:val="2A13176E"/>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941AF"/>
    <w:rsid w:val="2BDC02CD"/>
    <w:rsid w:val="2BE64A3E"/>
    <w:rsid w:val="2BEC4F7F"/>
    <w:rsid w:val="2BEF792D"/>
    <w:rsid w:val="2BF01DD3"/>
    <w:rsid w:val="2BF51B27"/>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6E0F6D"/>
    <w:rsid w:val="2D726428"/>
    <w:rsid w:val="2D7A06F1"/>
    <w:rsid w:val="2D8151A4"/>
    <w:rsid w:val="2DA02E9C"/>
    <w:rsid w:val="2DBB1852"/>
    <w:rsid w:val="2DBF0C3E"/>
    <w:rsid w:val="2DBF1601"/>
    <w:rsid w:val="2DBF4C3A"/>
    <w:rsid w:val="2DC464AC"/>
    <w:rsid w:val="2DD06AF3"/>
    <w:rsid w:val="2DDD1D4C"/>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B29AA"/>
    <w:rsid w:val="2E6F4813"/>
    <w:rsid w:val="2E705752"/>
    <w:rsid w:val="2E7622E7"/>
    <w:rsid w:val="2E7A5E34"/>
    <w:rsid w:val="2E7B65BB"/>
    <w:rsid w:val="2E855C37"/>
    <w:rsid w:val="2E8863A8"/>
    <w:rsid w:val="2E8F09A4"/>
    <w:rsid w:val="2E901734"/>
    <w:rsid w:val="2E993370"/>
    <w:rsid w:val="2E9A086A"/>
    <w:rsid w:val="2EA049A8"/>
    <w:rsid w:val="2EA26ABE"/>
    <w:rsid w:val="2EA72F10"/>
    <w:rsid w:val="2EA74B75"/>
    <w:rsid w:val="2EA91A46"/>
    <w:rsid w:val="2EB61295"/>
    <w:rsid w:val="2EC414ED"/>
    <w:rsid w:val="2EC71A13"/>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B7821"/>
    <w:rsid w:val="2F526911"/>
    <w:rsid w:val="2F5741FD"/>
    <w:rsid w:val="2F57587A"/>
    <w:rsid w:val="2F5E1A24"/>
    <w:rsid w:val="2F5F51BB"/>
    <w:rsid w:val="2F615954"/>
    <w:rsid w:val="2F6658F4"/>
    <w:rsid w:val="2F6C1F7B"/>
    <w:rsid w:val="2F712CF7"/>
    <w:rsid w:val="2F7C657F"/>
    <w:rsid w:val="2F805714"/>
    <w:rsid w:val="2F8640C4"/>
    <w:rsid w:val="2F86599D"/>
    <w:rsid w:val="2F8E5F5C"/>
    <w:rsid w:val="2F921FAC"/>
    <w:rsid w:val="2FA21231"/>
    <w:rsid w:val="2FAD4759"/>
    <w:rsid w:val="2FAD5866"/>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A322A"/>
    <w:rsid w:val="318229C7"/>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E306ED"/>
    <w:rsid w:val="31F20023"/>
    <w:rsid w:val="31F536F7"/>
    <w:rsid w:val="31FA7AEE"/>
    <w:rsid w:val="31FB60C5"/>
    <w:rsid w:val="3209100C"/>
    <w:rsid w:val="320953BF"/>
    <w:rsid w:val="320E6163"/>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CB205A"/>
    <w:rsid w:val="33D451B9"/>
    <w:rsid w:val="33DC68D5"/>
    <w:rsid w:val="33E20DF0"/>
    <w:rsid w:val="33E570DD"/>
    <w:rsid w:val="33EE5E44"/>
    <w:rsid w:val="33F81D16"/>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67BD6"/>
    <w:rsid w:val="363F4D43"/>
    <w:rsid w:val="36407BF2"/>
    <w:rsid w:val="36486576"/>
    <w:rsid w:val="364B2312"/>
    <w:rsid w:val="365955CF"/>
    <w:rsid w:val="365F765A"/>
    <w:rsid w:val="36627C0A"/>
    <w:rsid w:val="36693B36"/>
    <w:rsid w:val="366B0AAA"/>
    <w:rsid w:val="366B6257"/>
    <w:rsid w:val="366D49A8"/>
    <w:rsid w:val="366E06AD"/>
    <w:rsid w:val="366F68B7"/>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E700C"/>
    <w:rsid w:val="39834074"/>
    <w:rsid w:val="39885108"/>
    <w:rsid w:val="39907940"/>
    <w:rsid w:val="399602F5"/>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65153"/>
    <w:rsid w:val="3AD73D23"/>
    <w:rsid w:val="3AF932C9"/>
    <w:rsid w:val="3AFA42F1"/>
    <w:rsid w:val="3AFD37D0"/>
    <w:rsid w:val="3B016EE9"/>
    <w:rsid w:val="3B075C4E"/>
    <w:rsid w:val="3B0C7A7D"/>
    <w:rsid w:val="3B0D67FF"/>
    <w:rsid w:val="3B0E6B93"/>
    <w:rsid w:val="3B130528"/>
    <w:rsid w:val="3B1703B9"/>
    <w:rsid w:val="3B1B0093"/>
    <w:rsid w:val="3B2356A8"/>
    <w:rsid w:val="3B25536D"/>
    <w:rsid w:val="3B2D161A"/>
    <w:rsid w:val="3B380568"/>
    <w:rsid w:val="3B3A132E"/>
    <w:rsid w:val="3B456D7F"/>
    <w:rsid w:val="3B5E261D"/>
    <w:rsid w:val="3B5F14B4"/>
    <w:rsid w:val="3B6011C8"/>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6029"/>
    <w:rsid w:val="3D605B87"/>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B57DC"/>
    <w:rsid w:val="3F0433A0"/>
    <w:rsid w:val="3F0572F1"/>
    <w:rsid w:val="3F144192"/>
    <w:rsid w:val="3F1871AF"/>
    <w:rsid w:val="3F217DDA"/>
    <w:rsid w:val="3F2B184D"/>
    <w:rsid w:val="3F2C7646"/>
    <w:rsid w:val="3F421D47"/>
    <w:rsid w:val="3F441B08"/>
    <w:rsid w:val="3F4A4087"/>
    <w:rsid w:val="3F531649"/>
    <w:rsid w:val="3F5361F5"/>
    <w:rsid w:val="3F6B3632"/>
    <w:rsid w:val="3F776E0A"/>
    <w:rsid w:val="3F7F3EEF"/>
    <w:rsid w:val="3F8B4257"/>
    <w:rsid w:val="3F952814"/>
    <w:rsid w:val="3F9C0821"/>
    <w:rsid w:val="3FA41C63"/>
    <w:rsid w:val="3FAB100B"/>
    <w:rsid w:val="3FAB3D87"/>
    <w:rsid w:val="3FAB41A2"/>
    <w:rsid w:val="3FAE47F6"/>
    <w:rsid w:val="3FB03D8B"/>
    <w:rsid w:val="3FB77F5A"/>
    <w:rsid w:val="3FC0294F"/>
    <w:rsid w:val="3FD53CFE"/>
    <w:rsid w:val="3FD9316A"/>
    <w:rsid w:val="3FE210C1"/>
    <w:rsid w:val="3FEB1C22"/>
    <w:rsid w:val="3FEE2117"/>
    <w:rsid w:val="3FFA58A6"/>
    <w:rsid w:val="3FFA5C63"/>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47581"/>
    <w:rsid w:val="40D53788"/>
    <w:rsid w:val="40D72999"/>
    <w:rsid w:val="40D85E0D"/>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671D7"/>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8B6310"/>
    <w:rsid w:val="439322F0"/>
    <w:rsid w:val="43964600"/>
    <w:rsid w:val="4397231A"/>
    <w:rsid w:val="439C3431"/>
    <w:rsid w:val="439D0E7C"/>
    <w:rsid w:val="439E2B94"/>
    <w:rsid w:val="43A26A83"/>
    <w:rsid w:val="43A41643"/>
    <w:rsid w:val="43AC07BC"/>
    <w:rsid w:val="43C0281C"/>
    <w:rsid w:val="43C02B26"/>
    <w:rsid w:val="43D10A40"/>
    <w:rsid w:val="43D67A91"/>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B634C"/>
    <w:rsid w:val="459F2381"/>
    <w:rsid w:val="45A74FA6"/>
    <w:rsid w:val="45B315CE"/>
    <w:rsid w:val="45B64B84"/>
    <w:rsid w:val="45E37678"/>
    <w:rsid w:val="45E526A6"/>
    <w:rsid w:val="45E530A3"/>
    <w:rsid w:val="45E56E31"/>
    <w:rsid w:val="45E66893"/>
    <w:rsid w:val="45E826B2"/>
    <w:rsid w:val="45F4334C"/>
    <w:rsid w:val="46031CCA"/>
    <w:rsid w:val="460D3781"/>
    <w:rsid w:val="461B4D5C"/>
    <w:rsid w:val="46327C08"/>
    <w:rsid w:val="46365246"/>
    <w:rsid w:val="4638115F"/>
    <w:rsid w:val="46466453"/>
    <w:rsid w:val="464871AD"/>
    <w:rsid w:val="465918B0"/>
    <w:rsid w:val="4662020E"/>
    <w:rsid w:val="466D3070"/>
    <w:rsid w:val="4671651F"/>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CC7B85"/>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B0853"/>
    <w:rsid w:val="47EB5BFA"/>
    <w:rsid w:val="47F637EB"/>
    <w:rsid w:val="47FA20F9"/>
    <w:rsid w:val="47FF3A74"/>
    <w:rsid w:val="4803458B"/>
    <w:rsid w:val="480B7A59"/>
    <w:rsid w:val="48111DC2"/>
    <w:rsid w:val="48156BFB"/>
    <w:rsid w:val="48176B27"/>
    <w:rsid w:val="482B39B5"/>
    <w:rsid w:val="482B4E7A"/>
    <w:rsid w:val="482D350F"/>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62690"/>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93C20"/>
    <w:rsid w:val="49DA3FD3"/>
    <w:rsid w:val="49DA7AB7"/>
    <w:rsid w:val="49E028D9"/>
    <w:rsid w:val="49E46DD1"/>
    <w:rsid w:val="4A0573EC"/>
    <w:rsid w:val="4A06116C"/>
    <w:rsid w:val="4A070E8E"/>
    <w:rsid w:val="4A09499E"/>
    <w:rsid w:val="4A172183"/>
    <w:rsid w:val="4A2E7749"/>
    <w:rsid w:val="4A381BA6"/>
    <w:rsid w:val="4A3926E2"/>
    <w:rsid w:val="4A4172CE"/>
    <w:rsid w:val="4A43236C"/>
    <w:rsid w:val="4A4A176A"/>
    <w:rsid w:val="4A5370A6"/>
    <w:rsid w:val="4A5A2958"/>
    <w:rsid w:val="4A5C4447"/>
    <w:rsid w:val="4A5C6983"/>
    <w:rsid w:val="4A5F33FB"/>
    <w:rsid w:val="4A6C0FC7"/>
    <w:rsid w:val="4A6D7FF3"/>
    <w:rsid w:val="4A732739"/>
    <w:rsid w:val="4A7413BF"/>
    <w:rsid w:val="4A7D09F3"/>
    <w:rsid w:val="4A825AD9"/>
    <w:rsid w:val="4A840EFE"/>
    <w:rsid w:val="4A850C8F"/>
    <w:rsid w:val="4A8953AB"/>
    <w:rsid w:val="4A8B5CEB"/>
    <w:rsid w:val="4A95521B"/>
    <w:rsid w:val="4A970AB1"/>
    <w:rsid w:val="4AA278AE"/>
    <w:rsid w:val="4AA456B8"/>
    <w:rsid w:val="4AA54427"/>
    <w:rsid w:val="4AA75186"/>
    <w:rsid w:val="4AAF1B3A"/>
    <w:rsid w:val="4AB113DF"/>
    <w:rsid w:val="4ABB3CDE"/>
    <w:rsid w:val="4ABC1D18"/>
    <w:rsid w:val="4AC4256B"/>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F0B5D"/>
    <w:rsid w:val="4C606F33"/>
    <w:rsid w:val="4C6426ED"/>
    <w:rsid w:val="4C64471A"/>
    <w:rsid w:val="4C696A2C"/>
    <w:rsid w:val="4C6C2FE2"/>
    <w:rsid w:val="4C6D5BD4"/>
    <w:rsid w:val="4C77619E"/>
    <w:rsid w:val="4C860543"/>
    <w:rsid w:val="4C867A2A"/>
    <w:rsid w:val="4C8740CC"/>
    <w:rsid w:val="4C8E48D8"/>
    <w:rsid w:val="4C950335"/>
    <w:rsid w:val="4C9538F4"/>
    <w:rsid w:val="4C974009"/>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43253B"/>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43B9C"/>
    <w:rsid w:val="4DE60E50"/>
    <w:rsid w:val="4DE8573C"/>
    <w:rsid w:val="4DEB4734"/>
    <w:rsid w:val="4DEF33CD"/>
    <w:rsid w:val="4DEF4144"/>
    <w:rsid w:val="4DF20FEE"/>
    <w:rsid w:val="4E007E98"/>
    <w:rsid w:val="4E016672"/>
    <w:rsid w:val="4E066F25"/>
    <w:rsid w:val="4E0939E5"/>
    <w:rsid w:val="4E1364A2"/>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06524"/>
    <w:rsid w:val="4EC723BA"/>
    <w:rsid w:val="4ECA2CB3"/>
    <w:rsid w:val="4ED32EBD"/>
    <w:rsid w:val="4EE61722"/>
    <w:rsid w:val="4EE86D63"/>
    <w:rsid w:val="4EEC3838"/>
    <w:rsid w:val="4EEE11A3"/>
    <w:rsid w:val="4EF07E6E"/>
    <w:rsid w:val="4EFC653A"/>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A0656"/>
    <w:rsid w:val="4FDC6418"/>
    <w:rsid w:val="4FE13662"/>
    <w:rsid w:val="4FE15781"/>
    <w:rsid w:val="4FE3603D"/>
    <w:rsid w:val="4FF5506D"/>
    <w:rsid w:val="4FFE1157"/>
    <w:rsid w:val="4FFF3806"/>
    <w:rsid w:val="4FFF49BB"/>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E63519"/>
    <w:rsid w:val="50EA73BB"/>
    <w:rsid w:val="50ED76FB"/>
    <w:rsid w:val="50F568D9"/>
    <w:rsid w:val="50F915A8"/>
    <w:rsid w:val="50FD2A03"/>
    <w:rsid w:val="51044AF7"/>
    <w:rsid w:val="510D4A1E"/>
    <w:rsid w:val="51187610"/>
    <w:rsid w:val="512B350B"/>
    <w:rsid w:val="51375EB3"/>
    <w:rsid w:val="513853CC"/>
    <w:rsid w:val="51392D77"/>
    <w:rsid w:val="513F081D"/>
    <w:rsid w:val="514C1E16"/>
    <w:rsid w:val="515361F4"/>
    <w:rsid w:val="515529BB"/>
    <w:rsid w:val="515A64E3"/>
    <w:rsid w:val="515C30A6"/>
    <w:rsid w:val="5161698E"/>
    <w:rsid w:val="516824C4"/>
    <w:rsid w:val="517C0CA0"/>
    <w:rsid w:val="517F00BC"/>
    <w:rsid w:val="5188076F"/>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39194F"/>
    <w:rsid w:val="52612620"/>
    <w:rsid w:val="526478E1"/>
    <w:rsid w:val="526A546C"/>
    <w:rsid w:val="5271705D"/>
    <w:rsid w:val="52790FD9"/>
    <w:rsid w:val="52887A7D"/>
    <w:rsid w:val="52894DE6"/>
    <w:rsid w:val="528C459B"/>
    <w:rsid w:val="528C5E23"/>
    <w:rsid w:val="52993DA6"/>
    <w:rsid w:val="529B5EE8"/>
    <w:rsid w:val="529F0D9B"/>
    <w:rsid w:val="52CA3D8F"/>
    <w:rsid w:val="52CD21D8"/>
    <w:rsid w:val="52CF0A4A"/>
    <w:rsid w:val="52DC66BA"/>
    <w:rsid w:val="52DC68CB"/>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1942B6"/>
    <w:rsid w:val="5428070C"/>
    <w:rsid w:val="542A3FEF"/>
    <w:rsid w:val="542A5504"/>
    <w:rsid w:val="542F7A60"/>
    <w:rsid w:val="54346136"/>
    <w:rsid w:val="543805F6"/>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95643"/>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0A2A4C"/>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57D12"/>
    <w:rsid w:val="59094784"/>
    <w:rsid w:val="59267EF0"/>
    <w:rsid w:val="59326352"/>
    <w:rsid w:val="59376E4C"/>
    <w:rsid w:val="59421F7E"/>
    <w:rsid w:val="59424509"/>
    <w:rsid w:val="594935F2"/>
    <w:rsid w:val="594C2750"/>
    <w:rsid w:val="595C0946"/>
    <w:rsid w:val="59604A5E"/>
    <w:rsid w:val="59642A7A"/>
    <w:rsid w:val="596D32B4"/>
    <w:rsid w:val="59774D3E"/>
    <w:rsid w:val="599148CE"/>
    <w:rsid w:val="599A1291"/>
    <w:rsid w:val="599E418E"/>
    <w:rsid w:val="599F17F2"/>
    <w:rsid w:val="59A22883"/>
    <w:rsid w:val="59A24ED6"/>
    <w:rsid w:val="59AF0514"/>
    <w:rsid w:val="59B6531E"/>
    <w:rsid w:val="59B75E8A"/>
    <w:rsid w:val="59BC0F73"/>
    <w:rsid w:val="59BD2911"/>
    <w:rsid w:val="59BE1CC3"/>
    <w:rsid w:val="59C13A26"/>
    <w:rsid w:val="59C91BF3"/>
    <w:rsid w:val="59D36E2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1031D"/>
    <w:rsid w:val="5BC52B9A"/>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87355"/>
    <w:rsid w:val="5C0C750E"/>
    <w:rsid w:val="5C0E435F"/>
    <w:rsid w:val="5C135532"/>
    <w:rsid w:val="5C1832F4"/>
    <w:rsid w:val="5C1A3044"/>
    <w:rsid w:val="5C3B2DCF"/>
    <w:rsid w:val="5C500AF8"/>
    <w:rsid w:val="5C517866"/>
    <w:rsid w:val="5C523483"/>
    <w:rsid w:val="5C5348B4"/>
    <w:rsid w:val="5C591CA3"/>
    <w:rsid w:val="5C5E033F"/>
    <w:rsid w:val="5C6875EE"/>
    <w:rsid w:val="5C6E4C2C"/>
    <w:rsid w:val="5C6F12DC"/>
    <w:rsid w:val="5C7A2919"/>
    <w:rsid w:val="5C8D0C20"/>
    <w:rsid w:val="5CA14EF5"/>
    <w:rsid w:val="5CBF4297"/>
    <w:rsid w:val="5CC43404"/>
    <w:rsid w:val="5CC93DAE"/>
    <w:rsid w:val="5CD31EE3"/>
    <w:rsid w:val="5CE1654F"/>
    <w:rsid w:val="5CE47CF9"/>
    <w:rsid w:val="5CEB1D70"/>
    <w:rsid w:val="5CF42FC7"/>
    <w:rsid w:val="5CF45558"/>
    <w:rsid w:val="5CF70E19"/>
    <w:rsid w:val="5D00730C"/>
    <w:rsid w:val="5D072BC8"/>
    <w:rsid w:val="5D076525"/>
    <w:rsid w:val="5D0A3A75"/>
    <w:rsid w:val="5D19384D"/>
    <w:rsid w:val="5D2171DC"/>
    <w:rsid w:val="5D22473A"/>
    <w:rsid w:val="5D2B5629"/>
    <w:rsid w:val="5D315CEB"/>
    <w:rsid w:val="5D326462"/>
    <w:rsid w:val="5D3926A3"/>
    <w:rsid w:val="5D3B59DF"/>
    <w:rsid w:val="5D473075"/>
    <w:rsid w:val="5D475E41"/>
    <w:rsid w:val="5D4822EE"/>
    <w:rsid w:val="5D5864DB"/>
    <w:rsid w:val="5D6A2B5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A3E88"/>
    <w:rsid w:val="5E4E539E"/>
    <w:rsid w:val="5E556A15"/>
    <w:rsid w:val="5E5F0687"/>
    <w:rsid w:val="5E6454D9"/>
    <w:rsid w:val="5E680BE8"/>
    <w:rsid w:val="5E6B7FF0"/>
    <w:rsid w:val="5E783202"/>
    <w:rsid w:val="5E7842EE"/>
    <w:rsid w:val="5E803D55"/>
    <w:rsid w:val="5E854DAE"/>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B2B74"/>
    <w:rsid w:val="620D246E"/>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9F5186"/>
    <w:rsid w:val="62A33CA7"/>
    <w:rsid w:val="62B94634"/>
    <w:rsid w:val="62BA3B2B"/>
    <w:rsid w:val="62C37511"/>
    <w:rsid w:val="62D11C3F"/>
    <w:rsid w:val="62D67D61"/>
    <w:rsid w:val="62D87A6B"/>
    <w:rsid w:val="62E157FC"/>
    <w:rsid w:val="62E81148"/>
    <w:rsid w:val="62E83A0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A5C96"/>
    <w:rsid w:val="63FB6EC6"/>
    <w:rsid w:val="63FD7654"/>
    <w:rsid w:val="640C2BB6"/>
    <w:rsid w:val="6411454E"/>
    <w:rsid w:val="643F3FFC"/>
    <w:rsid w:val="644A69BC"/>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1D89"/>
    <w:rsid w:val="64CF05E4"/>
    <w:rsid w:val="64D93F02"/>
    <w:rsid w:val="64E54166"/>
    <w:rsid w:val="64E5543E"/>
    <w:rsid w:val="64E76F6D"/>
    <w:rsid w:val="64EA4517"/>
    <w:rsid w:val="64FA4523"/>
    <w:rsid w:val="64FC561C"/>
    <w:rsid w:val="64FE0E31"/>
    <w:rsid w:val="65181463"/>
    <w:rsid w:val="651A5C6A"/>
    <w:rsid w:val="651C38DB"/>
    <w:rsid w:val="65201F4F"/>
    <w:rsid w:val="65204394"/>
    <w:rsid w:val="6522790C"/>
    <w:rsid w:val="652C76EF"/>
    <w:rsid w:val="652D6A57"/>
    <w:rsid w:val="6537270D"/>
    <w:rsid w:val="653E78B1"/>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D42D2"/>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93543B"/>
    <w:rsid w:val="66953491"/>
    <w:rsid w:val="66980BF6"/>
    <w:rsid w:val="66A05394"/>
    <w:rsid w:val="66A56CDB"/>
    <w:rsid w:val="66AB1FAC"/>
    <w:rsid w:val="66AD65F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57240"/>
    <w:rsid w:val="67F73BC6"/>
    <w:rsid w:val="680965F8"/>
    <w:rsid w:val="680E4ECF"/>
    <w:rsid w:val="6811066C"/>
    <w:rsid w:val="68127886"/>
    <w:rsid w:val="68135F70"/>
    <w:rsid w:val="681778E7"/>
    <w:rsid w:val="681A5D8C"/>
    <w:rsid w:val="681B5BF4"/>
    <w:rsid w:val="68240EAA"/>
    <w:rsid w:val="6825323C"/>
    <w:rsid w:val="68356624"/>
    <w:rsid w:val="683D75A2"/>
    <w:rsid w:val="683F63B6"/>
    <w:rsid w:val="68436C4F"/>
    <w:rsid w:val="68451270"/>
    <w:rsid w:val="684C6C41"/>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F3842"/>
    <w:rsid w:val="69731101"/>
    <w:rsid w:val="6974083C"/>
    <w:rsid w:val="697D087B"/>
    <w:rsid w:val="69807B1E"/>
    <w:rsid w:val="6989485B"/>
    <w:rsid w:val="69985DDF"/>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084B"/>
    <w:rsid w:val="6AFE4F30"/>
    <w:rsid w:val="6B0E002C"/>
    <w:rsid w:val="6B21318E"/>
    <w:rsid w:val="6B285741"/>
    <w:rsid w:val="6B3069A4"/>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371C9"/>
    <w:rsid w:val="6C155F31"/>
    <w:rsid w:val="6C206E21"/>
    <w:rsid w:val="6C263A06"/>
    <w:rsid w:val="6C3A624E"/>
    <w:rsid w:val="6C3F4795"/>
    <w:rsid w:val="6C431738"/>
    <w:rsid w:val="6C505966"/>
    <w:rsid w:val="6C5D04BB"/>
    <w:rsid w:val="6C666C3C"/>
    <w:rsid w:val="6C6833E1"/>
    <w:rsid w:val="6C8E4315"/>
    <w:rsid w:val="6C95615F"/>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9618F"/>
    <w:rsid w:val="6DED02CD"/>
    <w:rsid w:val="6DF07F1A"/>
    <w:rsid w:val="6DF6740D"/>
    <w:rsid w:val="6DF92BCB"/>
    <w:rsid w:val="6DFA0DE1"/>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B06E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3148"/>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B03C6"/>
    <w:rsid w:val="711604AB"/>
    <w:rsid w:val="712762EB"/>
    <w:rsid w:val="712D2ADB"/>
    <w:rsid w:val="712D4159"/>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8775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B07B07"/>
    <w:rsid w:val="72B23B41"/>
    <w:rsid w:val="72B751B8"/>
    <w:rsid w:val="72CE3184"/>
    <w:rsid w:val="72CE7D06"/>
    <w:rsid w:val="72CF40C2"/>
    <w:rsid w:val="72D456A5"/>
    <w:rsid w:val="72E70D52"/>
    <w:rsid w:val="72EA6B66"/>
    <w:rsid w:val="72FB32E0"/>
    <w:rsid w:val="72FB39EE"/>
    <w:rsid w:val="7302733B"/>
    <w:rsid w:val="73036270"/>
    <w:rsid w:val="730F1336"/>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B45F5"/>
    <w:rsid w:val="73DD3CB3"/>
    <w:rsid w:val="73DE1AB7"/>
    <w:rsid w:val="73EC7C9D"/>
    <w:rsid w:val="73EE6F0E"/>
    <w:rsid w:val="73F5257C"/>
    <w:rsid w:val="73F67B1C"/>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D5800"/>
    <w:rsid w:val="74A73312"/>
    <w:rsid w:val="74B06962"/>
    <w:rsid w:val="74B32215"/>
    <w:rsid w:val="74BC7516"/>
    <w:rsid w:val="74C0607C"/>
    <w:rsid w:val="74C46840"/>
    <w:rsid w:val="74C719F8"/>
    <w:rsid w:val="74C7427B"/>
    <w:rsid w:val="74D575AA"/>
    <w:rsid w:val="74D71DDE"/>
    <w:rsid w:val="74DA7956"/>
    <w:rsid w:val="74E11F86"/>
    <w:rsid w:val="74F145CF"/>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50B12"/>
    <w:rsid w:val="762C249F"/>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228"/>
    <w:rsid w:val="767469E2"/>
    <w:rsid w:val="76775F0B"/>
    <w:rsid w:val="767E2DAC"/>
    <w:rsid w:val="76894819"/>
    <w:rsid w:val="768C7861"/>
    <w:rsid w:val="768D57E3"/>
    <w:rsid w:val="76932317"/>
    <w:rsid w:val="76A53B61"/>
    <w:rsid w:val="76A56898"/>
    <w:rsid w:val="76B153BA"/>
    <w:rsid w:val="76BE7B18"/>
    <w:rsid w:val="76C72CA0"/>
    <w:rsid w:val="76E05A8B"/>
    <w:rsid w:val="76ED0EF4"/>
    <w:rsid w:val="76F2295F"/>
    <w:rsid w:val="76F50A9F"/>
    <w:rsid w:val="76FD2D1D"/>
    <w:rsid w:val="770F088C"/>
    <w:rsid w:val="77187F65"/>
    <w:rsid w:val="771A7B51"/>
    <w:rsid w:val="77284F7D"/>
    <w:rsid w:val="7729766A"/>
    <w:rsid w:val="772D35A6"/>
    <w:rsid w:val="772D3786"/>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B0117B"/>
    <w:rsid w:val="78B91C9F"/>
    <w:rsid w:val="78BC539D"/>
    <w:rsid w:val="78C134B0"/>
    <w:rsid w:val="78C16AAB"/>
    <w:rsid w:val="78C64CC0"/>
    <w:rsid w:val="78C67D14"/>
    <w:rsid w:val="78CC4536"/>
    <w:rsid w:val="78CD3535"/>
    <w:rsid w:val="78D97F0E"/>
    <w:rsid w:val="78DA009A"/>
    <w:rsid w:val="78DC2FA9"/>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91012"/>
    <w:rsid w:val="7B4A5781"/>
    <w:rsid w:val="7B4E09BF"/>
    <w:rsid w:val="7B5E01B0"/>
    <w:rsid w:val="7B603C7C"/>
    <w:rsid w:val="7B65590F"/>
    <w:rsid w:val="7B6E2AB1"/>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E41A87"/>
    <w:rsid w:val="7BEF328F"/>
    <w:rsid w:val="7BF11348"/>
    <w:rsid w:val="7BF542FE"/>
    <w:rsid w:val="7BFF0642"/>
    <w:rsid w:val="7C017471"/>
    <w:rsid w:val="7C056E44"/>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53222"/>
    <w:rsid w:val="7CD72F9B"/>
    <w:rsid w:val="7CD81E3E"/>
    <w:rsid w:val="7CE146B6"/>
    <w:rsid w:val="7CE65C11"/>
    <w:rsid w:val="7CE70935"/>
    <w:rsid w:val="7CF84A31"/>
    <w:rsid w:val="7CFC44C2"/>
    <w:rsid w:val="7D013B39"/>
    <w:rsid w:val="7D060FAD"/>
    <w:rsid w:val="7D0826CA"/>
    <w:rsid w:val="7D0D06E5"/>
    <w:rsid w:val="7D130509"/>
    <w:rsid w:val="7D1838B3"/>
    <w:rsid w:val="7D1946C0"/>
    <w:rsid w:val="7D1D7FE9"/>
    <w:rsid w:val="7D261416"/>
    <w:rsid w:val="7D292A41"/>
    <w:rsid w:val="7D2A5CCB"/>
    <w:rsid w:val="7D401CAA"/>
    <w:rsid w:val="7D4E195B"/>
    <w:rsid w:val="7D515EFA"/>
    <w:rsid w:val="7D5F6F2D"/>
    <w:rsid w:val="7D635C6D"/>
    <w:rsid w:val="7D64087E"/>
    <w:rsid w:val="7D69117D"/>
    <w:rsid w:val="7D696CB2"/>
    <w:rsid w:val="7D7A555A"/>
    <w:rsid w:val="7D7F5298"/>
    <w:rsid w:val="7D8362BA"/>
    <w:rsid w:val="7D8B7B11"/>
    <w:rsid w:val="7D992C87"/>
    <w:rsid w:val="7DA843EE"/>
    <w:rsid w:val="7DAB10BD"/>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7393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2BB3"/>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2022-09-30T14:53:22Z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